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hAnsi="宋体" w:eastAsia="方正小标宋简体" w:cs="宋体"/>
          <w:bCs/>
          <w:color w:val="000000" w:themeColor="text1"/>
          <w:kern w:val="0"/>
          <w:sz w:val="44"/>
          <w:lang w:val="zh-CN" w:bidi="zh-CN"/>
          <w14:textFill>
            <w14:solidFill>
              <w14:schemeClr w14:val="tx1"/>
            </w14:solidFill>
          </w14:textFill>
        </w:rPr>
      </w:pPr>
      <w:r>
        <w:rPr>
          <w:rFonts w:hint="eastAsia" w:ascii="方正小标宋简体" w:hAnsi="宋体" w:eastAsia="方正小标宋简体" w:cs="宋体"/>
          <w:bCs/>
          <w:color w:val="000000" w:themeColor="text1"/>
          <w:kern w:val="0"/>
          <w:sz w:val="44"/>
          <w:lang w:val="zh-CN" w:bidi="zh-CN"/>
          <w14:textFill>
            <w14:solidFill>
              <w14:schemeClr w14:val="tx1"/>
            </w14:solidFill>
          </w14:textFill>
        </w:rPr>
        <w:t>第二十一届江苏省青少年机器人竞赛</w:t>
      </w:r>
    </w:p>
    <w:p>
      <w:pPr>
        <w:spacing w:line="360" w:lineRule="auto"/>
        <w:jc w:val="center"/>
        <w:rPr>
          <w:rFonts w:ascii="方正小标宋简体" w:hAnsi="宋体" w:eastAsia="方正小标宋简体" w:cs="宋体"/>
          <w:bCs/>
          <w:color w:val="000000" w:themeColor="text1"/>
          <w:kern w:val="0"/>
          <w:sz w:val="44"/>
          <w:lang w:val="zh-CN" w:bidi="zh-CN"/>
          <w14:textFill>
            <w14:solidFill>
              <w14:schemeClr w14:val="tx1"/>
            </w14:solidFill>
          </w14:textFill>
        </w:rPr>
      </w:pPr>
      <w:r>
        <w:rPr>
          <w:rFonts w:hint="eastAsia" w:ascii="方正小标宋简体" w:hAnsi="宋体" w:eastAsia="方正小标宋简体" w:cs="宋体"/>
          <w:bCs/>
          <w:color w:val="000000" w:themeColor="text1"/>
          <w:kern w:val="0"/>
          <w:sz w:val="44"/>
          <w:lang w:val="zh-CN" w:bidi="zh-CN"/>
          <w14:textFill>
            <w14:solidFill>
              <w14:schemeClr w14:val="tx1"/>
            </w14:solidFill>
          </w14:textFill>
        </w:rPr>
        <w:t>MakeX 机器人挑战赛项目规则-能源革新</w:t>
      </w:r>
    </w:p>
    <w:p>
      <w:pPr>
        <w:spacing w:line="360" w:lineRule="auto"/>
        <w:ind w:left="1070" w:right="1223"/>
        <w:jc w:val="center"/>
        <w:rPr>
          <w:rFonts w:ascii="方正小标宋简体" w:hAnsi="宋体" w:eastAsia="方正小标宋简体" w:cs="宋体"/>
          <w:bCs/>
          <w:color w:val="000000" w:themeColor="text1"/>
          <w:sz w:val="32"/>
          <w:szCs w:val="21"/>
          <w14:textFill>
            <w14:solidFill>
              <w14:schemeClr w14:val="tx1"/>
            </w14:solidFill>
          </w14:textFill>
        </w:rPr>
      </w:pPr>
      <w:r>
        <w:rPr>
          <w:rFonts w:hint="eastAsia" w:ascii="方正小标宋简体" w:hAnsi="宋体" w:eastAsia="方正小标宋简体" w:cs="宋体"/>
          <w:bCs/>
          <w:color w:val="000000" w:themeColor="text1"/>
          <w:sz w:val="32"/>
          <w:szCs w:val="21"/>
          <w14:textFill>
            <w14:solidFill>
              <w14:schemeClr w14:val="tx1"/>
            </w14:solidFill>
          </w14:textFill>
        </w:rPr>
        <w:t>（高中组）</w:t>
      </w:r>
    </w:p>
    <w:p>
      <w:pPr>
        <w:spacing w:line="360" w:lineRule="auto"/>
        <w:ind w:left="1070" w:right="1223"/>
        <w:jc w:val="center"/>
        <w:rPr>
          <w:rFonts w:ascii="宋体" w:hAnsi="宋体" w:eastAsia="宋体" w:cs="宋体"/>
          <w:b/>
          <w:color w:val="000000" w:themeColor="text1"/>
          <w:sz w:val="32"/>
          <w:szCs w:val="21"/>
          <w14:textFill>
            <w14:solidFill>
              <w14:schemeClr w14:val="tx1"/>
            </w14:solidFill>
          </w14:textFill>
        </w:rPr>
      </w:pPr>
    </w:p>
    <w:p>
      <w:pPr>
        <w:pStyle w:val="3"/>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bookmarkStart w:id="0" w:name="_Toc507141621_WPSOffice_Level1"/>
      <w:r>
        <w:rPr>
          <w:rFonts w:hint="eastAsia" w:ascii="宋体" w:hAnsi="宋体" w:eastAsia="宋体" w:cs="宋体"/>
          <w:color w:val="000000" w:themeColor="text1"/>
          <w:kern w:val="0"/>
          <w:sz w:val="28"/>
          <w:szCs w:val="28"/>
          <w:lang w:val="zh-CN" w:bidi="zh-CN"/>
          <w14:textFill>
            <w14:solidFill>
              <w14:schemeClr w14:val="tx1"/>
            </w14:solidFill>
          </w14:textFill>
        </w:rPr>
        <w:t>1</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赛项简介</w:t>
      </w:r>
      <w:bookmarkEnd w:id="0"/>
    </w:p>
    <w:p>
      <w:pPr>
        <w:pStyle w:val="4"/>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bookmarkStart w:id="1" w:name="_Toc11238"/>
      <w:bookmarkStart w:id="2" w:name="_Toc2001905617_WPSOffice_Level2"/>
      <w:bookmarkStart w:id="3" w:name="_Toc245481057"/>
      <w:r>
        <w:rPr>
          <w:rFonts w:hint="eastAsia" w:ascii="宋体" w:hAnsi="宋体" w:eastAsia="宋体" w:cs="宋体"/>
          <w:b/>
          <w:bCs/>
          <w:color w:val="000000" w:themeColor="text1"/>
          <w:kern w:val="0"/>
          <w:lang w:val="zh-CN" w:bidi="zh-CN"/>
          <w14:textFill>
            <w14:solidFill>
              <w14:schemeClr w14:val="tx1"/>
            </w14:solidFill>
          </w14:textFill>
        </w:rPr>
        <w:t>1</w:t>
      </w:r>
      <w:r>
        <w:rPr>
          <w:rFonts w:ascii="宋体" w:hAnsi="宋体" w:eastAsia="宋体" w:cs="宋体"/>
          <w:b/>
          <w:bCs/>
          <w:color w:val="000000" w:themeColor="text1"/>
          <w:kern w:val="0"/>
          <w:lang w:val="zh-CN" w:bidi="zh-CN"/>
          <w14:textFill>
            <w14:solidFill>
              <w14:schemeClr w14:val="tx1"/>
            </w14:solidFill>
          </w14:textFill>
        </w:rPr>
        <w:t xml:space="preserve">.1 </w:t>
      </w:r>
      <w:r>
        <w:rPr>
          <w:rFonts w:hint="eastAsia" w:ascii="宋体" w:hAnsi="宋体" w:eastAsia="宋体" w:cs="宋体"/>
          <w:b/>
          <w:bCs/>
          <w:color w:val="000000" w:themeColor="text1"/>
          <w:kern w:val="0"/>
          <w:lang w:val="zh-CN" w:bidi="zh-CN"/>
          <w14:textFill>
            <w14:solidFill>
              <w14:schemeClr w14:val="tx1"/>
            </w14:solidFill>
          </w14:textFill>
        </w:rPr>
        <w:t>赛事背景</w:t>
      </w:r>
      <w:bookmarkEnd w:id="1"/>
      <w:bookmarkEnd w:id="2"/>
      <w:bookmarkEnd w:id="3"/>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MakeX 是一个引导青少年全方位成长的国际化机器人赛事和教育平台。其品牌发源于中国，是一个以STEAM教育为核心的国际化机器人赛事和教育品牌，旨在通过机器人赛事、STEAM科技嘉年华、科技教育普及活动与教育交流大会等多种活动形式，激发青少年对于创造的热爱，让大众更加深刻认识 STEAM 教育的价值。 </w:t>
      </w:r>
    </w:p>
    <w:p>
      <w:pPr>
        <w:pStyle w:val="28"/>
        <w:adjustRightInd w:val="0"/>
        <w:snapToGrid w:val="0"/>
        <w:spacing w:line="360" w:lineRule="auto"/>
        <w:ind w:firstLine="420"/>
        <w:rPr>
          <w:rFonts w:ascii="宋体" w:hAnsi="宋体" w:eastAsia="宋体"/>
          <w:sz w:val="21"/>
        </w:rPr>
      </w:pPr>
      <w:r>
        <w:rPr>
          <w:rFonts w:ascii="宋体" w:hAnsi="宋体" w:eastAsia="宋体"/>
          <w:sz w:val="21"/>
        </w:rPr>
        <w:t>作为MakeX赛事平台的核心活动，MakeX机器人挑战赛秉承创造、协作、快乐、分享的精神理念，希望通过有趣、有挑战性的高水平比赛引导青少年系统学习科学（S）、技术（T）、工程（E）、艺术（A）和数学（M），并将这些学科知识运用到现实生活中去探索和解决实际问题。</w:t>
      </w:r>
    </w:p>
    <w:p>
      <w:pPr>
        <w:pStyle w:val="4"/>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bookmarkStart w:id="4" w:name="_Toc484039112"/>
      <w:bookmarkStart w:id="5" w:name="_Toc31670"/>
      <w:bookmarkStart w:id="6" w:name="_Toc1401407370_WPSOffice_Level2"/>
      <w:r>
        <w:rPr>
          <w:rFonts w:hint="eastAsia" w:ascii="宋体" w:hAnsi="宋体" w:eastAsia="宋体" w:cs="宋体"/>
          <w:b/>
          <w:bCs/>
          <w:color w:val="000000" w:themeColor="text1"/>
          <w:kern w:val="0"/>
          <w:lang w:val="zh-CN" w:bidi="zh-CN"/>
          <w14:textFill>
            <w14:solidFill>
              <w14:schemeClr w14:val="tx1"/>
            </w14:solidFill>
          </w14:textFill>
        </w:rPr>
        <w:t>1</w:t>
      </w:r>
      <w:r>
        <w:rPr>
          <w:rFonts w:ascii="宋体" w:hAnsi="宋体" w:eastAsia="宋体" w:cs="宋体"/>
          <w:b/>
          <w:bCs/>
          <w:color w:val="000000" w:themeColor="text1"/>
          <w:kern w:val="0"/>
          <w:lang w:val="zh-CN" w:bidi="zh-CN"/>
          <w14:textFill>
            <w14:solidFill>
              <w14:schemeClr w14:val="tx1"/>
            </w14:solidFill>
          </w14:textFill>
        </w:rPr>
        <w:t xml:space="preserve">.2 </w:t>
      </w:r>
      <w:r>
        <w:rPr>
          <w:rFonts w:hint="eastAsia" w:ascii="宋体" w:hAnsi="宋体" w:eastAsia="宋体" w:cs="宋体"/>
          <w:b/>
          <w:bCs/>
          <w:color w:val="000000" w:themeColor="text1"/>
          <w:kern w:val="0"/>
          <w:lang w:val="zh-CN" w:bidi="zh-CN"/>
          <w14:textFill>
            <w14:solidFill>
              <w14:schemeClr w14:val="tx1"/>
            </w14:solidFill>
          </w14:textFill>
        </w:rPr>
        <w:t>赛事精神</w:t>
      </w:r>
      <w:bookmarkEnd w:id="4"/>
      <w:bookmarkEnd w:id="5"/>
      <w:bookmarkEnd w:id="6"/>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创造：</w:t>
      </w:r>
      <w:r>
        <w:rPr>
          <w:rFonts w:ascii="宋体" w:hAnsi="宋体" w:eastAsia="宋体"/>
          <w:sz w:val="21"/>
        </w:rPr>
        <w:t xml:space="preserve">我们倡导求知、创新，鼓励所有选手发挥才智，动手创造自己独特的科技作品，敢于挑战自我、不断进步！ </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协作：</w:t>
      </w:r>
      <w:r>
        <w:rPr>
          <w:rFonts w:ascii="宋体" w:hAnsi="宋体" w:eastAsia="宋体"/>
          <w:sz w:val="21"/>
        </w:rPr>
        <w:t xml:space="preserve">我们倡导团结、友爱，鼓励所有选手具备责任心与进取精神，与合作 伙伴精诚协作，实现共赢！ </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快乐：</w:t>
      </w:r>
      <w:r>
        <w:rPr>
          <w:rFonts w:ascii="宋体" w:hAnsi="宋体" w:eastAsia="宋体"/>
          <w:sz w:val="21"/>
        </w:rPr>
        <w:t xml:space="preserve">我们鼓励选手树立健康、乐观的竞技心态，在拼搏中品味快乐与成长， 收获知识与友谊，为人生增添一道亮丽的光彩！ </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分享：</w:t>
      </w:r>
      <w:r>
        <w:rPr>
          <w:rFonts w:ascii="宋体" w:hAnsi="宋体" w:eastAsia="宋体"/>
          <w:sz w:val="21"/>
        </w:rPr>
        <w:t xml:space="preserve">我们鼓励选手时刻展现出一名Maker的开放心态，乐于向同伴、对手及社会分享自己的知识、责任与喜悦! </w:t>
      </w:r>
    </w:p>
    <w:p>
      <w:pPr>
        <w:pStyle w:val="28"/>
        <w:adjustRightInd w:val="0"/>
        <w:snapToGrid w:val="0"/>
        <w:spacing w:line="360" w:lineRule="auto"/>
        <w:ind w:firstLine="420"/>
        <w:rPr>
          <w:rFonts w:ascii="宋体" w:hAnsi="宋体" w:eastAsia="宋体"/>
          <w:sz w:val="21"/>
        </w:rPr>
      </w:pPr>
      <w:r>
        <w:rPr>
          <w:rFonts w:ascii="宋体" w:hAnsi="宋体" w:eastAsia="宋体"/>
          <w:sz w:val="21"/>
        </w:rPr>
        <w:t>MakeX赛事精神是MakeX机器人挑战赛的文化基石。我们希望为所有参赛选手、老师及行业专家提供一个交流、学习以及成长的平台，帮助孩子们在创造中学习新技能，在协作中懂得尊重他人，在竞赛中获得一份快乐的人生体验， 并乐于向社会分享自己的知识与责任，朝着改变世界、创造未来的宏伟志向而努力！</w:t>
      </w:r>
    </w:p>
    <w:p>
      <w:pPr>
        <w:pStyle w:val="4"/>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bidi="zh-CN"/>
          <w14:textFill>
            <w14:solidFill>
              <w14:schemeClr w14:val="tx1"/>
            </w14:solidFill>
          </w14:textFill>
        </w:rPr>
      </w:pPr>
      <w:bookmarkStart w:id="7" w:name="_Toc25792"/>
      <w:bookmarkStart w:id="8" w:name="_Toc577300548"/>
      <w:bookmarkStart w:id="9" w:name="_Toc2000510941_WPSOffice_Level2"/>
      <w:r>
        <w:rPr>
          <w:rFonts w:hint="eastAsia" w:ascii="宋体" w:hAnsi="宋体" w:eastAsia="宋体" w:cs="宋体"/>
          <w:b/>
          <w:bCs/>
          <w:color w:val="000000" w:themeColor="text1"/>
          <w:kern w:val="0"/>
          <w:lang w:bidi="zh-CN"/>
          <w14:textFill>
            <w14:solidFill>
              <w14:schemeClr w14:val="tx1"/>
            </w14:solidFill>
          </w14:textFill>
        </w:rPr>
        <w:t>1</w:t>
      </w:r>
      <w:r>
        <w:rPr>
          <w:rFonts w:ascii="宋体" w:hAnsi="宋体" w:eastAsia="宋体" w:cs="宋体"/>
          <w:b/>
          <w:bCs/>
          <w:color w:val="000000" w:themeColor="text1"/>
          <w:kern w:val="0"/>
          <w:lang w:bidi="zh-CN"/>
          <w14:textFill>
            <w14:solidFill>
              <w14:schemeClr w14:val="tx1"/>
            </w14:solidFill>
          </w14:textFill>
        </w:rPr>
        <w:t xml:space="preserve">.3 </w:t>
      </w:r>
      <w:r>
        <w:rPr>
          <w:rFonts w:hint="eastAsia" w:ascii="宋体" w:hAnsi="宋体" w:eastAsia="宋体" w:cs="宋体"/>
          <w:b/>
          <w:bCs/>
          <w:color w:val="000000" w:themeColor="text1"/>
          <w:kern w:val="0"/>
          <w:lang w:val="zh-CN" w:bidi="zh-CN"/>
          <w14:textFill>
            <w14:solidFill>
              <w14:schemeClr w14:val="tx1"/>
            </w14:solidFill>
          </w14:textFill>
        </w:rPr>
        <w:t>赛项介绍</w:t>
      </w:r>
      <w:bookmarkEnd w:id="7"/>
      <w:bookmarkEnd w:id="8"/>
      <w:bookmarkEnd w:id="9"/>
    </w:p>
    <w:p>
      <w:pPr>
        <w:pStyle w:val="28"/>
        <w:adjustRightInd w:val="0"/>
        <w:snapToGrid w:val="0"/>
        <w:spacing w:line="360" w:lineRule="auto"/>
        <w:ind w:firstLine="420"/>
        <w:rPr>
          <w:rFonts w:ascii="宋体" w:hAnsi="宋体" w:eastAsia="宋体"/>
          <w:sz w:val="21"/>
        </w:rPr>
      </w:pPr>
      <w:r>
        <w:rPr>
          <w:rFonts w:ascii="宋体" w:hAnsi="宋体" w:eastAsia="宋体"/>
          <w:sz w:val="21"/>
        </w:rPr>
        <w:t>MakeX Challenge 是面向</w:t>
      </w:r>
      <w:r>
        <w:rPr>
          <w:rFonts w:hint="eastAsia" w:ascii="宋体" w:hAnsi="宋体" w:eastAsia="宋体"/>
          <w:sz w:val="21"/>
        </w:rPr>
        <w:t>高中</w:t>
      </w:r>
      <w:r>
        <w:rPr>
          <w:rFonts w:ascii="宋体" w:hAnsi="宋体" w:eastAsia="宋体"/>
          <w:sz w:val="21"/>
        </w:rPr>
        <w:t>、中职阶段的青少年推出的强对抗类赛项。</w:t>
      </w:r>
    </w:p>
    <w:p>
      <w:pPr>
        <w:pStyle w:val="28"/>
        <w:adjustRightInd w:val="0"/>
        <w:snapToGrid w:val="0"/>
        <w:spacing w:line="360" w:lineRule="auto"/>
        <w:ind w:firstLine="420"/>
        <w:rPr>
          <w:rFonts w:ascii="宋体" w:hAnsi="宋体" w:eastAsia="宋体"/>
          <w:sz w:val="21"/>
        </w:rPr>
      </w:pPr>
      <w:r>
        <w:rPr>
          <w:rFonts w:ascii="宋体" w:hAnsi="宋体" w:eastAsia="宋体"/>
          <w:sz w:val="21"/>
        </w:rPr>
        <w:t>该赛项极具对抗性和观赏性，简单易懂的玩法整体提升参赛及观赛体验。具有挑战性的机器人搭建和编程，更好的培养进阶机器人的设计能力和多维度思考能力。在对抗中合作，在合作中对抗，锻炼参赛选手的逻辑思考、策略分析、沟通协作以及赛场决策能力。</w:t>
      </w:r>
    </w:p>
    <w:p>
      <w:pPr>
        <w:pStyle w:val="3"/>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bookmarkStart w:id="10" w:name="_Toc359193090"/>
      <w:bookmarkStart w:id="11" w:name="_Toc28192"/>
      <w:bookmarkStart w:id="12" w:name="_Toc2001905617_WPSOffice_Level1"/>
      <w:r>
        <w:rPr>
          <w:rFonts w:hint="eastAsia" w:ascii="宋体" w:hAnsi="宋体" w:eastAsia="宋体" w:cs="宋体"/>
          <w:color w:val="000000" w:themeColor="text1"/>
          <w:kern w:val="0"/>
          <w:sz w:val="28"/>
          <w:szCs w:val="28"/>
          <w:lang w:val="zh-CN" w:bidi="zh-CN"/>
          <w14:textFill>
            <w14:solidFill>
              <w14:schemeClr w14:val="tx1"/>
            </w14:solidFill>
          </w14:textFill>
        </w:rPr>
        <w:t>2</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参赛</w:t>
      </w:r>
      <w:bookmarkEnd w:id="10"/>
      <w:bookmarkEnd w:id="11"/>
      <w:bookmarkEnd w:id="12"/>
      <w:r>
        <w:rPr>
          <w:rFonts w:hint="eastAsia" w:ascii="宋体" w:hAnsi="宋体" w:eastAsia="宋体" w:cs="宋体"/>
          <w:color w:val="000000" w:themeColor="text1"/>
          <w:kern w:val="0"/>
          <w:sz w:val="28"/>
          <w:szCs w:val="28"/>
          <w:lang w:val="zh-CN" w:bidi="zh-CN"/>
          <w14:textFill>
            <w14:solidFill>
              <w14:schemeClr w14:val="tx1"/>
            </w14:solidFill>
          </w14:textFill>
        </w:rPr>
        <w:t>要求</w:t>
      </w:r>
    </w:p>
    <w:p>
      <w:pPr>
        <w:pStyle w:val="4"/>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bookmarkStart w:id="13" w:name="_Toc381731913"/>
      <w:bookmarkStart w:id="14" w:name="_Toc23217"/>
      <w:bookmarkStart w:id="15" w:name="_Toc1583407955_WPSOffice_Level2"/>
      <w:r>
        <w:rPr>
          <w:rFonts w:hint="eastAsia" w:ascii="宋体" w:hAnsi="宋体" w:eastAsia="宋体" w:cs="宋体"/>
          <w:b/>
          <w:bCs/>
          <w:color w:val="000000" w:themeColor="text1"/>
          <w:kern w:val="0"/>
          <w:lang w:val="zh-CN" w:bidi="zh-CN"/>
          <w14:textFill>
            <w14:solidFill>
              <w14:schemeClr w14:val="tx1"/>
            </w14:solidFill>
          </w14:textFill>
        </w:rPr>
        <w:t>2</w:t>
      </w:r>
      <w:r>
        <w:rPr>
          <w:rFonts w:ascii="宋体" w:hAnsi="宋体" w:eastAsia="宋体" w:cs="宋体"/>
          <w:b/>
          <w:bCs/>
          <w:color w:val="000000" w:themeColor="text1"/>
          <w:kern w:val="0"/>
          <w:lang w:val="zh-CN" w:bidi="zh-CN"/>
          <w14:textFill>
            <w14:solidFill>
              <w14:schemeClr w14:val="tx1"/>
            </w14:solidFill>
          </w14:textFill>
        </w:rPr>
        <w:t xml:space="preserve">.1 </w:t>
      </w:r>
      <w:r>
        <w:rPr>
          <w:rFonts w:hint="eastAsia" w:ascii="宋体" w:hAnsi="宋体" w:eastAsia="宋体" w:cs="宋体"/>
          <w:b/>
          <w:bCs/>
          <w:color w:val="000000" w:themeColor="text1"/>
          <w:kern w:val="0"/>
          <w:lang w:val="zh-CN" w:bidi="zh-CN"/>
          <w14:textFill>
            <w14:solidFill>
              <w14:schemeClr w14:val="tx1"/>
            </w14:solidFill>
          </w14:textFill>
        </w:rPr>
        <w:t>参赛要求</w:t>
      </w:r>
      <w:bookmarkEnd w:id="13"/>
      <w:bookmarkEnd w:id="14"/>
      <w:bookmarkEnd w:id="15"/>
    </w:p>
    <w:p>
      <w:pPr>
        <w:pStyle w:val="28"/>
        <w:adjustRightInd w:val="0"/>
        <w:snapToGrid w:val="0"/>
        <w:spacing w:line="360" w:lineRule="auto"/>
        <w:ind w:firstLine="422"/>
        <w:rPr>
          <w:rFonts w:ascii="宋体" w:hAnsi="宋体" w:eastAsia="宋体"/>
          <w:sz w:val="21"/>
        </w:rPr>
      </w:pPr>
      <w:r>
        <w:rPr>
          <w:rFonts w:hint="eastAsia" w:ascii="宋体" w:hAnsi="宋体" w:eastAsia="宋体"/>
          <w:b/>
          <w:sz w:val="21"/>
        </w:rPr>
        <w:t>2</w:t>
      </w:r>
      <w:r>
        <w:rPr>
          <w:rFonts w:ascii="宋体" w:hAnsi="宋体" w:eastAsia="宋体"/>
          <w:b/>
          <w:sz w:val="21"/>
        </w:rPr>
        <w:t xml:space="preserve">.1.1 </w:t>
      </w:r>
      <w:r>
        <w:rPr>
          <w:rFonts w:hint="eastAsia" w:ascii="宋体" w:hAnsi="宋体" w:eastAsia="宋体" w:cs="思源黑体 CN Heavy"/>
          <w:b/>
          <w:sz w:val="21"/>
        </w:rPr>
        <w:t>人数要求：</w:t>
      </w:r>
      <w:r>
        <w:rPr>
          <w:rFonts w:ascii="宋体" w:hAnsi="宋体" w:eastAsia="宋体"/>
          <w:sz w:val="21"/>
        </w:rPr>
        <w:t>参赛以</w:t>
      </w:r>
      <w:r>
        <w:rPr>
          <w:rFonts w:hint="eastAsia" w:ascii="宋体" w:hAnsi="宋体" w:eastAsia="宋体"/>
          <w:sz w:val="21"/>
        </w:rPr>
        <w:t>队伍</w:t>
      </w:r>
      <w:r>
        <w:rPr>
          <w:rFonts w:ascii="宋体" w:hAnsi="宋体" w:eastAsia="宋体"/>
          <w:sz w:val="21"/>
        </w:rPr>
        <w:t>为单位，每支</w:t>
      </w:r>
      <w:r>
        <w:rPr>
          <w:rFonts w:hint="eastAsia" w:ascii="宋体" w:hAnsi="宋体" w:eastAsia="宋体"/>
          <w:sz w:val="21"/>
        </w:rPr>
        <w:t>队伍</w:t>
      </w:r>
      <w:r>
        <w:rPr>
          <w:rFonts w:ascii="宋体" w:hAnsi="宋体" w:eastAsia="宋体"/>
          <w:sz w:val="21"/>
        </w:rPr>
        <w:t>的</w:t>
      </w:r>
      <w:r>
        <w:rPr>
          <w:rFonts w:hint="eastAsia" w:ascii="宋体" w:hAnsi="宋体" w:eastAsia="宋体"/>
          <w:sz w:val="21"/>
        </w:rPr>
        <w:t>参赛</w:t>
      </w:r>
      <w:r>
        <w:rPr>
          <w:rFonts w:ascii="宋体" w:hAnsi="宋体" w:eastAsia="宋体"/>
          <w:sz w:val="21"/>
        </w:rPr>
        <w:t>选手数量为</w:t>
      </w:r>
      <w:r>
        <w:rPr>
          <w:rFonts w:hint="eastAsia" w:ascii="宋体" w:hAnsi="宋体" w:eastAsia="宋体"/>
          <w:sz w:val="21"/>
        </w:rPr>
        <w:t>2-</w:t>
      </w:r>
      <w:r>
        <w:rPr>
          <w:rFonts w:ascii="宋体" w:hAnsi="宋体" w:eastAsia="宋体"/>
          <w:sz w:val="21"/>
        </w:rPr>
        <w:t>4人，指导老师1</w:t>
      </w:r>
      <w:r>
        <w:rPr>
          <w:rFonts w:hint="eastAsia" w:ascii="宋体" w:hAnsi="宋体" w:eastAsia="宋体"/>
          <w:sz w:val="21"/>
        </w:rPr>
        <w:t>-</w:t>
      </w:r>
      <w:r>
        <w:rPr>
          <w:rFonts w:ascii="宋体" w:hAnsi="宋体" w:eastAsia="宋体"/>
          <w:sz w:val="21"/>
        </w:rPr>
        <w:t xml:space="preserve">2 名。 </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注：</w:t>
      </w:r>
      <w:r>
        <w:rPr>
          <w:rFonts w:hint="eastAsia" w:ascii="宋体" w:hAnsi="宋体" w:eastAsia="宋体"/>
          <w:sz w:val="21"/>
        </w:rPr>
        <w:t>参赛选手和指导老师定义详见《总则》。</w:t>
      </w:r>
    </w:p>
    <w:p>
      <w:pPr>
        <w:pStyle w:val="28"/>
        <w:adjustRightInd w:val="0"/>
        <w:snapToGrid w:val="0"/>
        <w:spacing w:line="360" w:lineRule="auto"/>
        <w:ind w:firstLine="422"/>
        <w:rPr>
          <w:rFonts w:ascii="宋体" w:hAnsi="宋体" w:eastAsia="宋体"/>
          <w:sz w:val="21"/>
        </w:rPr>
      </w:pPr>
      <w:r>
        <w:rPr>
          <w:rFonts w:ascii="宋体" w:hAnsi="宋体" w:eastAsia="宋体"/>
          <w:b/>
          <w:sz w:val="21"/>
        </w:rPr>
        <w:t xml:space="preserve">2.1.2 </w:t>
      </w:r>
      <w:r>
        <w:rPr>
          <w:rFonts w:hint="eastAsia" w:ascii="宋体" w:hAnsi="宋体" w:eastAsia="宋体" w:cs="思源黑体 CN Heavy"/>
          <w:b/>
          <w:sz w:val="21"/>
        </w:rPr>
        <w:t>年龄要求：</w:t>
      </w:r>
      <w:r>
        <w:rPr>
          <w:rStyle w:val="29"/>
          <w:rFonts w:ascii="宋体" w:hAnsi="宋体" w:eastAsia="宋体"/>
          <w:sz w:val="21"/>
        </w:rPr>
        <w:t>参赛选手必须为</w:t>
      </w:r>
      <w:r>
        <w:rPr>
          <w:rFonts w:ascii="宋体" w:hAnsi="宋体" w:eastAsia="宋体"/>
          <w:sz w:val="21"/>
        </w:rPr>
        <w:t>国内义务教育</w:t>
      </w:r>
      <w:r>
        <w:rPr>
          <w:rFonts w:hint="eastAsia" w:ascii="宋体" w:hAnsi="宋体" w:eastAsia="宋体" w:cs="宋体"/>
          <w:sz w:val="21"/>
        </w:rPr>
        <w:t>高中</w:t>
      </w:r>
      <w:r>
        <w:rPr>
          <w:rFonts w:hint="eastAsia" w:ascii="宋体" w:hAnsi="宋体" w:eastAsia="宋体"/>
          <w:sz w:val="21"/>
          <w:lang w:eastAsia="zh-Hans"/>
        </w:rPr>
        <w:t>或中职</w:t>
      </w:r>
      <w:r>
        <w:rPr>
          <w:rFonts w:ascii="宋体" w:hAnsi="宋体" w:eastAsia="宋体"/>
          <w:sz w:val="21"/>
        </w:rPr>
        <w:t xml:space="preserve">阶段的在校学生。 </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2</w:t>
      </w:r>
      <w:r>
        <w:rPr>
          <w:rFonts w:ascii="宋体" w:hAnsi="宋体" w:eastAsia="宋体"/>
          <w:b/>
          <w:bCs/>
          <w:sz w:val="21"/>
        </w:rPr>
        <w:t xml:space="preserve">.1.3 </w:t>
      </w:r>
      <w:r>
        <w:rPr>
          <w:rFonts w:hint="eastAsia" w:ascii="宋体" w:hAnsi="宋体" w:eastAsia="宋体"/>
          <w:b/>
          <w:bCs/>
          <w:sz w:val="21"/>
        </w:rPr>
        <w:t>队伍分工：</w:t>
      </w:r>
      <w:r>
        <w:rPr>
          <w:rFonts w:ascii="宋体" w:hAnsi="宋体" w:eastAsia="宋体"/>
          <w:sz w:val="21"/>
        </w:rPr>
        <w:t>每个人在</w:t>
      </w:r>
      <w:r>
        <w:rPr>
          <w:rFonts w:hint="eastAsia" w:ascii="宋体" w:hAnsi="宋体" w:eastAsia="宋体"/>
          <w:sz w:val="21"/>
        </w:rPr>
        <w:t>队伍</w:t>
      </w:r>
      <w:r>
        <w:rPr>
          <w:rFonts w:ascii="宋体" w:hAnsi="宋体" w:eastAsia="宋体"/>
          <w:sz w:val="21"/>
        </w:rPr>
        <w:t>中各司其职，担任操作手、观察手、机械师、程序员等团队角色。比赛时每个参赛</w:t>
      </w:r>
      <w:r>
        <w:rPr>
          <w:rFonts w:hint="eastAsia" w:ascii="宋体" w:hAnsi="宋体" w:eastAsia="宋体"/>
          <w:sz w:val="21"/>
        </w:rPr>
        <w:t>队伍</w:t>
      </w:r>
      <w:r>
        <w:rPr>
          <w:rFonts w:ascii="宋体" w:hAnsi="宋体" w:eastAsia="宋体"/>
          <w:sz w:val="21"/>
        </w:rPr>
        <w:t xml:space="preserve">只能派出1名操作手和1名观察手。每方联盟中包含2名操作手和2名观察手，选出其中一人为联盟队长。操作手负责操作机器人，观察手负责协助操作手观察道具状态并给出建议。 </w:t>
      </w:r>
    </w:p>
    <w:p>
      <w:pPr>
        <w:pStyle w:val="28"/>
        <w:adjustRightInd w:val="0"/>
        <w:snapToGrid w:val="0"/>
        <w:spacing w:line="360" w:lineRule="auto"/>
        <w:ind w:firstLine="422"/>
        <w:rPr>
          <w:rFonts w:ascii="宋体" w:hAnsi="宋体" w:eastAsia="宋体"/>
          <w:sz w:val="21"/>
        </w:rPr>
      </w:pPr>
      <w:r>
        <w:rPr>
          <w:rFonts w:hint="eastAsia" w:ascii="宋体" w:hAnsi="宋体" w:eastAsia="宋体"/>
          <w:b/>
          <w:sz w:val="21"/>
        </w:rPr>
        <w:t>2</w:t>
      </w:r>
      <w:r>
        <w:rPr>
          <w:rFonts w:ascii="宋体" w:hAnsi="宋体" w:eastAsia="宋体"/>
          <w:b/>
          <w:sz w:val="21"/>
        </w:rPr>
        <w:t xml:space="preserve">.1.4 </w:t>
      </w:r>
      <w:r>
        <w:rPr>
          <w:rFonts w:hint="eastAsia" w:ascii="宋体" w:hAnsi="宋体" w:eastAsia="宋体"/>
          <w:b/>
          <w:sz w:val="21"/>
        </w:rPr>
        <w:t>标识物料：</w:t>
      </w:r>
      <w:r>
        <w:rPr>
          <w:rFonts w:ascii="宋体" w:hAnsi="宋体" w:eastAsia="宋体"/>
          <w:sz w:val="21"/>
        </w:rPr>
        <w:t>每支</w:t>
      </w:r>
      <w:r>
        <w:rPr>
          <w:rFonts w:hint="eastAsia" w:ascii="宋体" w:hAnsi="宋体" w:eastAsia="宋体"/>
          <w:sz w:val="21"/>
        </w:rPr>
        <w:t>队伍</w:t>
      </w:r>
      <w:r>
        <w:rPr>
          <w:rFonts w:ascii="宋体" w:hAnsi="宋体" w:eastAsia="宋体"/>
          <w:sz w:val="21"/>
        </w:rPr>
        <w:t>必须拥有队名，鼓励</w:t>
      </w:r>
      <w:r>
        <w:rPr>
          <w:rFonts w:hint="eastAsia" w:ascii="宋体" w:hAnsi="宋体" w:eastAsia="宋体"/>
          <w:sz w:val="21"/>
        </w:rPr>
        <w:t>队伍</w:t>
      </w:r>
      <w:r>
        <w:rPr>
          <w:rFonts w:ascii="宋体" w:hAnsi="宋体" w:eastAsia="宋体"/>
          <w:sz w:val="21"/>
        </w:rPr>
        <w:t>采用队服、队旗、海报、徽章、基地装饰等形式展现</w:t>
      </w:r>
      <w:r>
        <w:rPr>
          <w:rFonts w:hint="eastAsia" w:ascii="宋体" w:hAnsi="宋体" w:eastAsia="宋体"/>
          <w:sz w:val="21"/>
        </w:rPr>
        <w:t>队伍</w:t>
      </w:r>
      <w:r>
        <w:rPr>
          <w:rFonts w:ascii="宋体" w:hAnsi="宋体" w:eastAsia="宋体"/>
          <w:sz w:val="21"/>
        </w:rPr>
        <w:t>风貌。</w:t>
      </w:r>
    </w:p>
    <w:p>
      <w:pPr>
        <w:pStyle w:val="3"/>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bookmarkStart w:id="16" w:name="_Toc15601"/>
      <w:bookmarkStart w:id="17" w:name="_Toc1073053700"/>
      <w:bookmarkStart w:id="18" w:name="_Toc1401407370_WPSOffice_Level1"/>
      <w:r>
        <w:rPr>
          <w:rFonts w:hint="eastAsia" w:ascii="宋体" w:hAnsi="宋体" w:eastAsia="宋体" w:cs="宋体"/>
          <w:color w:val="000000" w:themeColor="text1"/>
          <w:kern w:val="0"/>
          <w:sz w:val="28"/>
          <w:szCs w:val="28"/>
          <w:lang w:val="zh-CN" w:bidi="zh-CN"/>
          <w14:textFill>
            <w14:solidFill>
              <w14:schemeClr w14:val="tx1"/>
            </w14:solidFill>
          </w14:textFill>
        </w:rPr>
        <w:t>3</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比赛流程</w:t>
      </w:r>
      <w:bookmarkEnd w:id="16"/>
      <w:bookmarkEnd w:id="17"/>
      <w:bookmarkEnd w:id="18"/>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赛事日程将根据实际情况确定</w:t>
      </w:r>
      <w:r>
        <w:rPr>
          <w:rFonts w:hint="eastAsia" w:ascii="宋体" w:hAnsi="宋体" w:eastAsia="宋体" w:cs="宋体"/>
          <w:sz w:val="21"/>
          <w:szCs w:val="18"/>
        </w:rPr>
        <w:t>。</w:t>
      </w:r>
    </w:p>
    <w:p>
      <w:pPr>
        <w:pStyle w:val="4"/>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3</w:t>
      </w:r>
      <w:r>
        <w:rPr>
          <w:rFonts w:ascii="宋体" w:hAnsi="宋体" w:eastAsia="宋体" w:cs="宋体"/>
          <w:b/>
          <w:bCs/>
          <w:color w:val="000000" w:themeColor="text1"/>
          <w:kern w:val="0"/>
          <w:lang w:val="zh-CN" w:bidi="zh-CN"/>
          <w14:textFill>
            <w14:solidFill>
              <w14:schemeClr w14:val="tx1"/>
            </w14:solidFill>
          </w14:textFill>
        </w:rPr>
        <w:t xml:space="preserve">.1 </w:t>
      </w:r>
      <w:r>
        <w:rPr>
          <w:rFonts w:hint="eastAsia" w:ascii="宋体" w:hAnsi="宋体" w:eastAsia="宋体" w:cs="宋体"/>
          <w:b/>
          <w:bCs/>
          <w:color w:val="000000" w:themeColor="text1"/>
          <w:kern w:val="0"/>
          <w:lang w:val="zh-CN" w:bidi="zh-CN"/>
          <w14:textFill>
            <w14:solidFill>
              <w14:schemeClr w14:val="tx1"/>
            </w14:solidFill>
          </w14:textFill>
        </w:rPr>
        <w:t>队伍报到</w:t>
      </w:r>
    </w:p>
    <w:p>
      <w:pPr>
        <w:adjustRightInd w:val="0"/>
        <w:snapToGrid w:val="0"/>
        <w:spacing w:line="360" w:lineRule="auto"/>
        <w:ind w:firstLine="420"/>
        <w:rPr>
          <w:rFonts w:ascii="宋体" w:hAnsi="宋体" w:eastAsia="宋体" w:cs="宋体"/>
          <w:sz w:val="21"/>
          <w:szCs w:val="18"/>
        </w:rPr>
      </w:pPr>
      <w:r>
        <w:rPr>
          <w:rFonts w:ascii="宋体" w:hAnsi="宋体" w:eastAsia="宋体" w:cs="宋体"/>
          <w:sz w:val="21"/>
          <w:szCs w:val="18"/>
        </w:rPr>
        <w:t>参赛</w:t>
      </w:r>
      <w:r>
        <w:rPr>
          <w:rFonts w:hint="eastAsia" w:ascii="宋体" w:hAnsi="宋体" w:eastAsia="宋体" w:cs="宋体"/>
          <w:sz w:val="21"/>
          <w:szCs w:val="18"/>
        </w:rPr>
        <w:t>队伍</w:t>
      </w:r>
      <w:r>
        <w:rPr>
          <w:rFonts w:ascii="宋体" w:hAnsi="宋体" w:eastAsia="宋体" w:cs="宋体"/>
          <w:sz w:val="21"/>
          <w:szCs w:val="18"/>
        </w:rPr>
        <w:t>到达场馆后，指导老师与参赛选手应携带身份证或其他有效证件到报到处为</w:t>
      </w:r>
      <w:r>
        <w:rPr>
          <w:rFonts w:hint="eastAsia" w:ascii="宋体" w:hAnsi="宋体" w:eastAsia="宋体" w:cs="宋体"/>
          <w:sz w:val="21"/>
          <w:szCs w:val="18"/>
        </w:rPr>
        <w:t>队伍</w:t>
      </w:r>
      <w:r>
        <w:rPr>
          <w:rFonts w:ascii="宋体" w:hAnsi="宋体" w:eastAsia="宋体" w:cs="宋体"/>
          <w:sz w:val="21"/>
          <w:szCs w:val="18"/>
        </w:rPr>
        <w:t>签到登记并领取参赛物料</w:t>
      </w:r>
      <w:r>
        <w:rPr>
          <w:rFonts w:hint="eastAsia" w:ascii="宋体" w:hAnsi="宋体" w:eastAsia="宋体" w:cs="宋体"/>
          <w:sz w:val="21"/>
          <w:szCs w:val="18"/>
        </w:rPr>
        <w:t>。</w:t>
      </w:r>
      <w:r>
        <w:rPr>
          <w:rFonts w:ascii="宋体" w:hAnsi="宋体" w:eastAsia="宋体" w:cs="宋体"/>
          <w:sz w:val="21"/>
          <w:szCs w:val="18"/>
        </w:rPr>
        <w:t>在</w:t>
      </w:r>
      <w:r>
        <w:rPr>
          <w:rFonts w:hint="eastAsia" w:ascii="宋体" w:hAnsi="宋体" w:eastAsia="宋体" w:cs="宋体"/>
          <w:sz w:val="21"/>
          <w:szCs w:val="18"/>
        </w:rPr>
        <w:t>报到结束</w:t>
      </w:r>
      <w:r>
        <w:rPr>
          <w:rFonts w:ascii="宋体" w:hAnsi="宋体" w:eastAsia="宋体" w:cs="宋体"/>
          <w:sz w:val="21"/>
          <w:szCs w:val="18"/>
        </w:rPr>
        <w:t xml:space="preserve">后，将不再受理队伍报到与检录事宜。 </w:t>
      </w:r>
    </w:p>
    <w:p>
      <w:pPr>
        <w:pStyle w:val="4"/>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3</w:t>
      </w:r>
      <w:r>
        <w:rPr>
          <w:rFonts w:ascii="宋体" w:hAnsi="宋体" w:eastAsia="宋体" w:cs="宋体"/>
          <w:b/>
          <w:bCs/>
          <w:color w:val="000000" w:themeColor="text1"/>
          <w:kern w:val="0"/>
          <w:lang w:val="zh-CN" w:bidi="zh-CN"/>
          <w14:textFill>
            <w14:solidFill>
              <w14:schemeClr w14:val="tx1"/>
            </w14:solidFill>
          </w14:textFill>
        </w:rPr>
        <w:t xml:space="preserve">.2 </w:t>
      </w:r>
      <w:r>
        <w:rPr>
          <w:rFonts w:hint="eastAsia" w:ascii="宋体" w:hAnsi="宋体" w:eastAsia="宋体" w:cs="宋体"/>
          <w:b/>
          <w:bCs/>
          <w:color w:val="000000" w:themeColor="text1"/>
          <w:kern w:val="0"/>
          <w:lang w:val="zh-CN" w:bidi="zh-CN"/>
          <w14:textFill>
            <w14:solidFill>
              <w14:schemeClr w14:val="tx1"/>
            </w14:solidFill>
          </w14:textFill>
        </w:rPr>
        <w:t xml:space="preserve">机器人检录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检录员将严格按照检录要求对参赛</w:t>
      </w:r>
      <w:r>
        <w:rPr>
          <w:rFonts w:hint="eastAsia" w:ascii="宋体" w:hAnsi="宋体" w:eastAsia="宋体"/>
          <w:sz w:val="21"/>
          <w:szCs w:val="18"/>
        </w:rPr>
        <w:t>队伍</w:t>
      </w:r>
      <w:r>
        <w:rPr>
          <w:rFonts w:ascii="宋体" w:hAnsi="宋体" w:eastAsia="宋体"/>
          <w:sz w:val="21"/>
          <w:szCs w:val="18"/>
        </w:rPr>
        <w:t>的机器人进行安全检查。参赛</w:t>
      </w:r>
      <w:r>
        <w:rPr>
          <w:rFonts w:hint="eastAsia" w:ascii="宋体" w:hAnsi="宋体" w:eastAsia="宋体"/>
          <w:sz w:val="21"/>
          <w:szCs w:val="18"/>
        </w:rPr>
        <w:t>队伍</w:t>
      </w:r>
      <w:r>
        <w:rPr>
          <w:rFonts w:ascii="宋体" w:hAnsi="宋体" w:eastAsia="宋体"/>
          <w:sz w:val="21"/>
          <w:szCs w:val="18"/>
        </w:rPr>
        <w:t>可以查阅</w:t>
      </w:r>
      <w:r>
        <w:rPr>
          <w:rFonts w:hint="eastAsia" w:ascii="宋体" w:hAnsi="宋体" w:eastAsia="宋体"/>
          <w:sz w:val="21"/>
          <w:szCs w:val="18"/>
          <w:lang w:eastAsia="zh-Hans"/>
        </w:rPr>
        <w:t>“</w:t>
      </w:r>
      <w:r>
        <w:rPr>
          <w:rFonts w:ascii="宋体" w:hAnsi="宋体" w:eastAsia="宋体"/>
          <w:b/>
          <w:bCs/>
          <w:sz w:val="21"/>
          <w:szCs w:val="18"/>
        </w:rPr>
        <w:t>附录：MakeX</w:t>
      </w:r>
      <w:r>
        <w:rPr>
          <w:rFonts w:hint="eastAsia" w:ascii="宋体" w:hAnsi="宋体" w:eastAsia="宋体" w:cs="宋体"/>
          <w:b/>
          <w:bCs/>
          <w:sz w:val="21"/>
          <w:szCs w:val="18"/>
        </w:rPr>
        <w:t>高中组</w:t>
      </w:r>
      <w:r>
        <w:rPr>
          <w:rFonts w:ascii="宋体" w:hAnsi="宋体" w:eastAsia="宋体"/>
          <w:b/>
          <w:bCs/>
          <w:sz w:val="21"/>
          <w:szCs w:val="18"/>
        </w:rPr>
        <w:t>能源革新机器人自检表</w:t>
      </w:r>
      <w:r>
        <w:rPr>
          <w:rFonts w:hint="eastAsia" w:ascii="宋体" w:hAnsi="宋体" w:eastAsia="宋体"/>
          <w:b/>
          <w:bCs/>
          <w:sz w:val="21"/>
          <w:szCs w:val="18"/>
          <w:lang w:eastAsia="zh-Hans"/>
        </w:rPr>
        <w:t>”</w:t>
      </w:r>
      <w:r>
        <w:rPr>
          <w:rFonts w:ascii="宋体" w:hAnsi="宋体" w:eastAsia="宋体"/>
          <w:sz w:val="21"/>
          <w:szCs w:val="18"/>
        </w:rPr>
        <w:t>预先检查自己的机器人与</w:t>
      </w:r>
      <w:r>
        <w:rPr>
          <w:rFonts w:hint="eastAsia" w:ascii="宋体" w:hAnsi="宋体" w:eastAsia="宋体"/>
          <w:sz w:val="21"/>
          <w:szCs w:val="18"/>
        </w:rPr>
        <w:t>队伍</w:t>
      </w:r>
      <w:r>
        <w:rPr>
          <w:rFonts w:ascii="宋体" w:hAnsi="宋体" w:eastAsia="宋体"/>
          <w:sz w:val="21"/>
          <w:szCs w:val="18"/>
        </w:rPr>
        <w:t>自制队旗。正式比赛前还会对机器人</w:t>
      </w:r>
      <w:r>
        <w:rPr>
          <w:rFonts w:hint="eastAsia" w:ascii="宋体" w:hAnsi="宋体" w:eastAsia="宋体"/>
          <w:sz w:val="21"/>
          <w:szCs w:val="18"/>
        </w:rPr>
        <w:t>、</w:t>
      </w:r>
      <w:r>
        <w:rPr>
          <w:rFonts w:ascii="宋体" w:hAnsi="宋体" w:eastAsia="宋体"/>
          <w:sz w:val="21"/>
          <w:szCs w:val="18"/>
        </w:rPr>
        <w:t>战队自制队旗进行赛前检录。未通过检录的机器人需重新调整后再次检录直至检录通过，机器人检录未通过的</w:t>
      </w:r>
      <w:r>
        <w:rPr>
          <w:rFonts w:hint="eastAsia" w:ascii="宋体" w:hAnsi="宋体" w:eastAsia="宋体"/>
          <w:sz w:val="21"/>
          <w:szCs w:val="18"/>
        </w:rPr>
        <w:t>队伍</w:t>
      </w:r>
      <w:r>
        <w:rPr>
          <w:rFonts w:ascii="宋体" w:hAnsi="宋体" w:eastAsia="宋体"/>
          <w:sz w:val="21"/>
          <w:szCs w:val="18"/>
        </w:rPr>
        <w:t xml:space="preserve">不得参加比赛。 </w:t>
      </w:r>
    </w:p>
    <w:p>
      <w:pPr>
        <w:pStyle w:val="4"/>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3</w:t>
      </w:r>
      <w:r>
        <w:rPr>
          <w:rFonts w:ascii="宋体" w:hAnsi="宋体" w:eastAsia="宋体" w:cs="宋体"/>
          <w:b/>
          <w:bCs/>
          <w:color w:val="000000" w:themeColor="text1"/>
          <w:kern w:val="0"/>
          <w:lang w:val="zh-CN" w:bidi="zh-CN"/>
          <w14:textFill>
            <w14:solidFill>
              <w14:schemeClr w14:val="tx1"/>
            </w14:solidFill>
          </w14:textFill>
        </w:rPr>
        <w:t xml:space="preserve">.3 </w:t>
      </w:r>
      <w:r>
        <w:rPr>
          <w:rFonts w:hint="eastAsia" w:ascii="宋体" w:hAnsi="宋体" w:eastAsia="宋体" w:cs="宋体"/>
          <w:b/>
          <w:bCs/>
          <w:color w:val="000000" w:themeColor="text1"/>
          <w:kern w:val="0"/>
          <w:lang w:val="zh-CN" w:bidi="zh-CN"/>
          <w14:textFill>
            <w14:solidFill>
              <w14:schemeClr w14:val="tx1"/>
            </w14:solidFill>
          </w14:textFill>
        </w:rPr>
        <w:t xml:space="preserve">赛程公布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组委会将在比赛开始前至少30分钟进行赛程公布（包含对阵表、比赛场次及时间、红蓝方等信息）。 </w:t>
      </w:r>
    </w:p>
    <w:p>
      <w:pPr>
        <w:pStyle w:val="4"/>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3</w:t>
      </w:r>
      <w:r>
        <w:rPr>
          <w:rFonts w:ascii="宋体" w:hAnsi="宋体" w:eastAsia="宋体" w:cs="宋体"/>
          <w:b/>
          <w:bCs/>
          <w:color w:val="000000" w:themeColor="text1"/>
          <w:kern w:val="0"/>
          <w:lang w:val="zh-CN" w:bidi="zh-CN"/>
          <w14:textFill>
            <w14:solidFill>
              <w14:schemeClr w14:val="tx1"/>
            </w14:solidFill>
          </w14:textFill>
        </w:rPr>
        <w:t xml:space="preserve">.4 </w:t>
      </w:r>
      <w:r>
        <w:rPr>
          <w:rFonts w:hint="eastAsia" w:ascii="宋体" w:hAnsi="宋体" w:eastAsia="宋体" w:cs="宋体"/>
          <w:b/>
          <w:bCs/>
          <w:color w:val="000000" w:themeColor="text1"/>
          <w:kern w:val="0"/>
          <w:lang w:val="zh-CN" w:bidi="zh-CN"/>
          <w14:textFill>
            <w14:solidFill>
              <w14:schemeClr w14:val="tx1"/>
            </w14:solidFill>
          </w14:textFill>
        </w:rPr>
        <w:t>练习赛</w:t>
      </w:r>
    </w:p>
    <w:p>
      <w:pPr>
        <w:pStyle w:val="28"/>
        <w:adjustRightInd w:val="0"/>
        <w:snapToGrid w:val="0"/>
        <w:spacing w:line="360" w:lineRule="auto"/>
        <w:ind w:firstLine="420"/>
        <w:rPr>
          <w:rFonts w:ascii="宋体" w:hAnsi="宋体" w:eastAsia="宋体"/>
          <w:color w:val="auto"/>
          <w:sz w:val="21"/>
          <w:szCs w:val="18"/>
        </w:rPr>
      </w:pPr>
      <w:r>
        <w:rPr>
          <w:rFonts w:hint="eastAsia" w:ascii="宋体" w:hAnsi="宋体" w:eastAsia="宋体"/>
          <w:color w:val="auto"/>
          <w:sz w:val="21"/>
          <w:szCs w:val="18"/>
        </w:rPr>
        <w:t>参赛队伍在完成机器人检录后可参加练习赛，练习赛安排以公告栏公布为准，队伍需排队等候入场安排。并非所有比赛都设有练习赛环节，请以实际情况为准。</w:t>
      </w:r>
    </w:p>
    <w:p>
      <w:pPr>
        <w:pStyle w:val="4"/>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3</w:t>
      </w:r>
      <w:r>
        <w:rPr>
          <w:rFonts w:ascii="宋体" w:hAnsi="宋体" w:eastAsia="宋体" w:cs="宋体"/>
          <w:b/>
          <w:bCs/>
          <w:color w:val="000000" w:themeColor="text1"/>
          <w:kern w:val="0"/>
          <w:lang w:val="zh-CN" w:bidi="zh-CN"/>
          <w14:textFill>
            <w14:solidFill>
              <w14:schemeClr w14:val="tx1"/>
            </w14:solidFill>
          </w14:textFill>
        </w:rPr>
        <w:t xml:space="preserve">.5 </w:t>
      </w:r>
      <w:r>
        <w:rPr>
          <w:rFonts w:hint="eastAsia" w:ascii="宋体" w:hAnsi="宋体" w:eastAsia="宋体" w:cs="宋体"/>
          <w:b/>
          <w:bCs/>
          <w:color w:val="000000" w:themeColor="text1"/>
          <w:kern w:val="0"/>
          <w:lang w:val="zh-CN" w:bidi="zh-CN"/>
          <w14:textFill>
            <w14:solidFill>
              <w14:schemeClr w14:val="tx1"/>
            </w14:solidFill>
          </w14:textFill>
        </w:rPr>
        <w:t xml:space="preserve">正式赛 </w:t>
      </w:r>
    </w:p>
    <w:p>
      <w:pPr>
        <w:pStyle w:val="28"/>
        <w:adjustRightInd w:val="0"/>
        <w:snapToGrid w:val="0"/>
        <w:spacing w:line="360" w:lineRule="auto"/>
        <w:ind w:firstLine="420"/>
        <w:rPr>
          <w:rFonts w:ascii="宋体" w:hAnsi="宋体" w:eastAsia="宋体"/>
          <w:color w:val="auto"/>
          <w:sz w:val="21"/>
          <w:szCs w:val="18"/>
        </w:rPr>
      </w:pPr>
      <w:r>
        <w:rPr>
          <w:rFonts w:hint="eastAsia" w:ascii="宋体" w:hAnsi="宋体" w:eastAsia="宋体"/>
          <w:color w:val="auto"/>
          <w:sz w:val="21"/>
          <w:szCs w:val="18"/>
        </w:rPr>
        <w:t>常规赛事中，每支参赛队伍将进行四场</w:t>
      </w:r>
      <w:r>
        <w:rPr>
          <w:rFonts w:hint="eastAsia" w:ascii="宋体" w:hAnsi="宋体" w:eastAsia="宋体"/>
          <w:color w:val="auto"/>
          <w:sz w:val="21"/>
          <w:szCs w:val="18"/>
          <w:lang w:eastAsia="zh-Hans"/>
        </w:rPr>
        <w:t>正式</w:t>
      </w:r>
      <w:r>
        <w:rPr>
          <w:rFonts w:hint="eastAsia" w:ascii="宋体" w:hAnsi="宋体" w:eastAsia="宋体"/>
          <w:color w:val="auto"/>
          <w:sz w:val="21"/>
          <w:szCs w:val="18"/>
        </w:rPr>
        <w:t>赛，但根据实际情况，</w:t>
      </w:r>
      <w:r>
        <w:rPr>
          <w:rFonts w:hint="eastAsia" w:ascii="宋体" w:hAnsi="宋体" w:eastAsia="宋体"/>
          <w:color w:val="auto"/>
          <w:sz w:val="21"/>
          <w:szCs w:val="18"/>
          <w:lang w:eastAsia="zh-Hans"/>
        </w:rPr>
        <w:t>正式</w:t>
      </w:r>
      <w:r>
        <w:rPr>
          <w:rFonts w:hint="eastAsia" w:ascii="宋体" w:hAnsi="宋体" w:eastAsia="宋体"/>
          <w:color w:val="auto"/>
          <w:sz w:val="21"/>
          <w:szCs w:val="18"/>
        </w:rPr>
        <w:t>赛的场数可能有所增减。</w:t>
      </w:r>
      <w:r>
        <w:rPr>
          <w:rFonts w:hint="eastAsia" w:ascii="宋体" w:hAnsi="宋体" w:eastAsia="宋体"/>
          <w:color w:val="auto"/>
          <w:sz w:val="21"/>
          <w:szCs w:val="18"/>
          <w:lang w:eastAsia="zh-Hans"/>
        </w:rPr>
        <w:t>正式</w:t>
      </w:r>
      <w:r>
        <w:rPr>
          <w:rFonts w:hint="eastAsia" w:ascii="宋体" w:hAnsi="宋体" w:eastAsia="宋体"/>
          <w:color w:val="auto"/>
          <w:sz w:val="21"/>
          <w:szCs w:val="18"/>
        </w:rPr>
        <w:t>赛阶段，红蓝双方由系统自动匹配</w:t>
      </w:r>
      <w:r>
        <w:rPr>
          <w:rFonts w:hint="eastAsia" w:ascii="宋体" w:hAnsi="宋体" w:eastAsia="宋体"/>
          <w:color w:val="auto"/>
          <w:sz w:val="21"/>
          <w:szCs w:val="18"/>
          <w:lang w:eastAsia="zh-Hans"/>
        </w:rPr>
        <w:t>(或为抽签决定,以</w:t>
      </w:r>
      <w:r>
        <w:rPr>
          <w:rFonts w:hint="eastAsia" w:ascii="宋体" w:hAnsi="宋体" w:eastAsia="宋体"/>
          <w:color w:val="auto"/>
          <w:sz w:val="21"/>
          <w:szCs w:val="18"/>
        </w:rPr>
        <w:t>组委会</w:t>
      </w:r>
      <w:r>
        <w:rPr>
          <w:rFonts w:hint="eastAsia" w:ascii="宋体" w:hAnsi="宋体" w:eastAsia="宋体"/>
          <w:color w:val="auto"/>
          <w:sz w:val="21"/>
          <w:szCs w:val="18"/>
          <w:lang w:eastAsia="zh-Hans"/>
        </w:rPr>
        <w:t>通知为准)</w:t>
      </w:r>
      <w:r>
        <w:rPr>
          <w:rFonts w:hint="eastAsia" w:ascii="宋体" w:hAnsi="宋体" w:eastAsia="宋体"/>
          <w:color w:val="auto"/>
          <w:sz w:val="21"/>
          <w:szCs w:val="18"/>
        </w:rPr>
        <w:t>，参赛队伍根据比赛胜负关系获取胜平负积分。</w:t>
      </w:r>
      <w:r>
        <w:rPr>
          <w:rFonts w:hint="eastAsia" w:ascii="宋体" w:hAnsi="宋体" w:eastAsia="宋体"/>
          <w:color w:val="auto"/>
          <w:sz w:val="21"/>
          <w:szCs w:val="18"/>
          <w:lang w:eastAsia="zh-Hans"/>
        </w:rPr>
        <w:t>正式</w:t>
      </w:r>
      <w:r>
        <w:rPr>
          <w:rFonts w:hint="eastAsia" w:ascii="宋体" w:hAnsi="宋体" w:eastAsia="宋体"/>
          <w:color w:val="auto"/>
          <w:sz w:val="21"/>
          <w:szCs w:val="18"/>
        </w:rPr>
        <w:t>赛以联盟对抗形式进行，每轮比赛的联盟队友与联盟对手将随机分配</w:t>
      </w:r>
      <w:r>
        <w:rPr>
          <w:rFonts w:hint="eastAsia" w:ascii="宋体" w:hAnsi="宋体" w:eastAsia="宋体"/>
          <w:color w:val="auto"/>
          <w:sz w:val="21"/>
          <w:szCs w:val="18"/>
          <w:lang w:eastAsia="zh-Hans"/>
        </w:rPr>
        <w:t>(或为抽签决定,以</w:t>
      </w:r>
      <w:r>
        <w:rPr>
          <w:rFonts w:hint="eastAsia" w:ascii="宋体" w:hAnsi="宋体" w:eastAsia="宋体"/>
          <w:color w:val="auto"/>
          <w:sz w:val="21"/>
          <w:szCs w:val="18"/>
        </w:rPr>
        <w:t>组委会</w:t>
      </w:r>
      <w:r>
        <w:rPr>
          <w:rFonts w:hint="eastAsia" w:ascii="宋体" w:hAnsi="宋体" w:eastAsia="宋体"/>
          <w:color w:val="auto"/>
          <w:sz w:val="21"/>
          <w:szCs w:val="18"/>
          <w:lang w:eastAsia="zh-Hans"/>
        </w:rPr>
        <w:t>通知为准)</w:t>
      </w:r>
      <w:r>
        <w:rPr>
          <w:rFonts w:hint="eastAsia" w:ascii="宋体" w:hAnsi="宋体" w:eastAsia="宋体"/>
          <w:color w:val="auto"/>
          <w:sz w:val="21"/>
          <w:szCs w:val="18"/>
        </w:rPr>
        <w:t xml:space="preserve">。 </w:t>
      </w:r>
    </w:p>
    <w:p>
      <w:pPr>
        <w:pStyle w:val="28"/>
        <w:adjustRightInd w:val="0"/>
        <w:snapToGrid w:val="0"/>
        <w:spacing w:line="360" w:lineRule="auto"/>
        <w:ind w:firstLine="420"/>
        <w:rPr>
          <w:rFonts w:ascii="宋体" w:hAnsi="宋体" w:eastAsia="宋体"/>
          <w:color w:val="auto"/>
          <w:sz w:val="21"/>
          <w:szCs w:val="18"/>
        </w:rPr>
      </w:pPr>
      <w:r>
        <w:rPr>
          <w:rFonts w:hint="eastAsia" w:ascii="宋体" w:hAnsi="宋体" w:eastAsia="宋体"/>
          <w:color w:val="auto"/>
          <w:sz w:val="21"/>
          <w:szCs w:val="18"/>
        </w:rPr>
        <w:t>每场</w:t>
      </w:r>
      <w:r>
        <w:rPr>
          <w:rFonts w:hint="eastAsia" w:ascii="宋体" w:hAnsi="宋体" w:eastAsia="宋体"/>
          <w:color w:val="auto"/>
          <w:sz w:val="21"/>
          <w:szCs w:val="18"/>
          <w:lang w:eastAsia="zh-Hans"/>
        </w:rPr>
        <w:t>正式</w:t>
      </w:r>
      <w:r>
        <w:rPr>
          <w:rFonts w:hint="eastAsia" w:ascii="宋体" w:hAnsi="宋体" w:eastAsia="宋体"/>
          <w:color w:val="auto"/>
          <w:sz w:val="21"/>
          <w:szCs w:val="18"/>
        </w:rPr>
        <w:t xml:space="preserve">赛中，队伍均将获得胜平负分。如队伍获胜则将获得3分，平局将获得1分，战败无法获得分数。最终按照排位分进行排名，若有队伍排位分相同，则按以下规则决出排名高低： </w:t>
      </w:r>
    </w:p>
    <w:p>
      <w:pPr>
        <w:pStyle w:val="28"/>
        <w:adjustRightInd w:val="0"/>
        <w:snapToGrid w:val="0"/>
        <w:spacing w:line="360" w:lineRule="auto"/>
        <w:ind w:firstLine="420"/>
        <w:rPr>
          <w:rFonts w:ascii="宋体" w:hAnsi="宋体" w:eastAsia="宋体"/>
          <w:color w:val="auto"/>
          <w:sz w:val="21"/>
          <w:szCs w:val="18"/>
        </w:rPr>
      </w:pPr>
      <w:r>
        <w:rPr>
          <w:rFonts w:hint="eastAsia" w:ascii="宋体" w:hAnsi="宋体" w:eastAsia="宋体"/>
          <w:color w:val="auto"/>
          <w:sz w:val="21"/>
          <w:szCs w:val="18"/>
        </w:rPr>
        <w:t>（1）对比队伍所有的</w:t>
      </w:r>
      <w:r>
        <w:rPr>
          <w:rFonts w:hint="eastAsia" w:ascii="宋体" w:hAnsi="宋体" w:eastAsia="宋体"/>
          <w:color w:val="auto"/>
          <w:sz w:val="21"/>
          <w:szCs w:val="18"/>
          <w:lang w:eastAsia="zh-Hans"/>
        </w:rPr>
        <w:t>正式</w:t>
      </w:r>
      <w:r>
        <w:rPr>
          <w:rFonts w:hint="eastAsia" w:ascii="宋体" w:hAnsi="宋体" w:eastAsia="宋体"/>
          <w:color w:val="auto"/>
          <w:sz w:val="21"/>
          <w:szCs w:val="18"/>
        </w:rPr>
        <w:t xml:space="preserve">赛阶段胜负分，胜负分高者排名靠前； </w:t>
      </w:r>
    </w:p>
    <w:p>
      <w:pPr>
        <w:pStyle w:val="28"/>
        <w:adjustRightInd w:val="0"/>
        <w:snapToGrid w:val="0"/>
        <w:spacing w:line="360" w:lineRule="auto"/>
        <w:ind w:firstLine="420"/>
        <w:rPr>
          <w:rFonts w:ascii="宋体" w:hAnsi="宋体" w:eastAsia="宋体"/>
          <w:color w:val="auto"/>
          <w:sz w:val="21"/>
          <w:szCs w:val="18"/>
        </w:rPr>
      </w:pPr>
      <w:r>
        <w:rPr>
          <w:rFonts w:hint="eastAsia" w:ascii="宋体" w:hAnsi="宋体" w:eastAsia="宋体"/>
          <w:color w:val="auto"/>
          <w:sz w:val="21"/>
          <w:szCs w:val="18"/>
        </w:rPr>
        <w:t>（2）若胜负分相同，则对比队伍</w:t>
      </w:r>
      <w:r>
        <w:rPr>
          <w:rFonts w:hint="eastAsia" w:ascii="宋体" w:hAnsi="宋体" w:eastAsia="宋体"/>
          <w:color w:val="auto"/>
          <w:sz w:val="21"/>
          <w:szCs w:val="18"/>
          <w:lang w:eastAsia="zh-Hans"/>
        </w:rPr>
        <w:t>正式</w:t>
      </w:r>
      <w:r>
        <w:rPr>
          <w:rFonts w:hint="eastAsia" w:ascii="宋体" w:hAnsi="宋体" w:eastAsia="宋体"/>
          <w:color w:val="auto"/>
          <w:sz w:val="21"/>
          <w:szCs w:val="18"/>
        </w:rPr>
        <w:t xml:space="preserve">赛阶段总净胜分，得分高者排名靠前； </w:t>
      </w:r>
    </w:p>
    <w:p>
      <w:pPr>
        <w:pStyle w:val="28"/>
        <w:adjustRightInd w:val="0"/>
        <w:snapToGrid w:val="0"/>
        <w:spacing w:line="360" w:lineRule="auto"/>
        <w:ind w:firstLine="420"/>
        <w:rPr>
          <w:rFonts w:ascii="宋体" w:hAnsi="宋体" w:eastAsia="宋体"/>
          <w:color w:val="auto"/>
          <w:sz w:val="21"/>
          <w:szCs w:val="18"/>
        </w:rPr>
      </w:pPr>
      <w:r>
        <w:rPr>
          <w:rFonts w:hint="eastAsia" w:ascii="宋体" w:hAnsi="宋体" w:eastAsia="宋体"/>
          <w:color w:val="auto"/>
          <w:sz w:val="21"/>
          <w:szCs w:val="18"/>
        </w:rPr>
        <w:t>（3）若以上仍相同，则对比</w:t>
      </w:r>
      <w:r>
        <w:rPr>
          <w:rFonts w:hint="eastAsia" w:ascii="宋体" w:hAnsi="宋体" w:eastAsia="宋体"/>
          <w:color w:val="auto"/>
          <w:sz w:val="21"/>
          <w:szCs w:val="18"/>
          <w:lang w:eastAsia="zh-Hans"/>
        </w:rPr>
        <w:t>正式</w:t>
      </w:r>
      <w:r>
        <w:rPr>
          <w:rFonts w:hint="eastAsia" w:ascii="宋体" w:hAnsi="宋体" w:eastAsia="宋体"/>
          <w:color w:val="auto"/>
          <w:sz w:val="21"/>
          <w:szCs w:val="18"/>
        </w:rPr>
        <w:t xml:space="preserve">赛阶段总得分，得分高者排名靠前； </w:t>
      </w:r>
    </w:p>
    <w:p>
      <w:pPr>
        <w:pStyle w:val="28"/>
        <w:adjustRightInd w:val="0"/>
        <w:snapToGrid w:val="0"/>
        <w:spacing w:line="360" w:lineRule="auto"/>
        <w:ind w:firstLine="420"/>
        <w:rPr>
          <w:rFonts w:ascii="宋体" w:hAnsi="宋体" w:eastAsia="宋体"/>
          <w:color w:val="auto"/>
          <w:sz w:val="21"/>
          <w:szCs w:val="18"/>
        </w:rPr>
      </w:pPr>
      <w:r>
        <w:rPr>
          <w:rFonts w:hint="eastAsia" w:ascii="宋体" w:hAnsi="宋体" w:eastAsia="宋体"/>
          <w:color w:val="auto"/>
          <w:sz w:val="21"/>
          <w:szCs w:val="18"/>
        </w:rPr>
        <w:t>（4）若以上仍相同，则对比</w:t>
      </w:r>
      <w:r>
        <w:rPr>
          <w:rFonts w:hint="eastAsia" w:ascii="宋体" w:hAnsi="宋体" w:eastAsia="宋体"/>
          <w:color w:val="auto"/>
          <w:sz w:val="21"/>
          <w:szCs w:val="18"/>
          <w:lang w:eastAsia="zh-Hans"/>
        </w:rPr>
        <w:t>正式</w:t>
      </w:r>
      <w:r>
        <w:rPr>
          <w:rFonts w:hint="eastAsia" w:ascii="宋体" w:hAnsi="宋体" w:eastAsia="宋体"/>
          <w:color w:val="auto"/>
          <w:sz w:val="21"/>
          <w:szCs w:val="18"/>
        </w:rPr>
        <w:t xml:space="preserve">赛阶段单场最高分，得分高者排名靠前； </w:t>
      </w:r>
    </w:p>
    <w:p>
      <w:pPr>
        <w:pStyle w:val="28"/>
        <w:adjustRightInd w:val="0"/>
        <w:snapToGrid w:val="0"/>
        <w:spacing w:line="360" w:lineRule="auto"/>
        <w:ind w:firstLine="420"/>
        <w:rPr>
          <w:rFonts w:ascii="宋体" w:hAnsi="宋体" w:eastAsia="宋体"/>
          <w:color w:val="auto"/>
          <w:sz w:val="21"/>
          <w:szCs w:val="18"/>
        </w:rPr>
      </w:pPr>
      <w:r>
        <w:rPr>
          <w:rFonts w:hint="eastAsia" w:ascii="宋体" w:hAnsi="宋体" w:eastAsia="宋体"/>
          <w:color w:val="auto"/>
          <w:sz w:val="21"/>
          <w:szCs w:val="18"/>
        </w:rPr>
        <w:t>（</w:t>
      </w:r>
      <w:r>
        <w:rPr>
          <w:rFonts w:ascii="宋体" w:hAnsi="宋体" w:eastAsia="宋体"/>
          <w:color w:val="auto"/>
          <w:sz w:val="21"/>
          <w:szCs w:val="18"/>
        </w:rPr>
        <w:t>5</w:t>
      </w:r>
      <w:r>
        <w:rPr>
          <w:rFonts w:hint="eastAsia" w:ascii="宋体" w:hAnsi="宋体" w:eastAsia="宋体"/>
          <w:color w:val="auto"/>
          <w:sz w:val="21"/>
          <w:szCs w:val="18"/>
        </w:rPr>
        <w:t>）若以上仍相同，则排名相同的队伍进行一对一的加赛一场，总得分高者获胜。</w:t>
      </w:r>
    </w:p>
    <w:p>
      <w:pPr>
        <w:pStyle w:val="3"/>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bookmarkStart w:id="19" w:name="_Toc3245"/>
      <w:bookmarkStart w:id="20" w:name="_Toc551561130"/>
      <w:bookmarkStart w:id="21" w:name="_Toc2000510941_WPSOffice_Level1"/>
      <w:r>
        <w:rPr>
          <w:rFonts w:hint="eastAsia" w:ascii="宋体" w:hAnsi="宋体" w:eastAsia="宋体" w:cs="宋体"/>
          <w:color w:val="000000" w:themeColor="text1"/>
          <w:kern w:val="0"/>
          <w:sz w:val="28"/>
          <w:szCs w:val="28"/>
          <w:lang w:val="zh-CN" w:bidi="zh-CN"/>
          <w14:textFill>
            <w14:solidFill>
              <w14:schemeClr w14:val="tx1"/>
            </w14:solidFill>
          </w14:textFill>
        </w:rPr>
        <w:t>4</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比赛内容</w:t>
      </w:r>
      <w:bookmarkEnd w:id="19"/>
      <w:bookmarkEnd w:id="20"/>
      <w:bookmarkEnd w:id="21"/>
    </w:p>
    <w:p>
      <w:pPr>
        <w:pStyle w:val="28"/>
        <w:adjustRightInd w:val="0"/>
        <w:snapToGrid w:val="0"/>
        <w:spacing w:line="360" w:lineRule="auto"/>
        <w:ind w:firstLine="420"/>
        <w:rPr>
          <w:rFonts w:ascii="宋体" w:hAnsi="宋体" w:eastAsia="宋体" w:cs="宋体"/>
          <w:sz w:val="21"/>
        </w:rPr>
      </w:pPr>
      <w:r>
        <w:rPr>
          <w:rFonts w:ascii="宋体" w:hAnsi="宋体" w:eastAsia="宋体" w:cs="宋体"/>
          <w:sz w:val="21"/>
        </w:rPr>
        <w:t xml:space="preserve">MakeX </w:t>
      </w:r>
      <w:r>
        <w:rPr>
          <w:rFonts w:hint="eastAsia" w:ascii="宋体" w:hAnsi="宋体" w:eastAsia="宋体" w:cs="宋体"/>
          <w:sz w:val="21"/>
        </w:rPr>
        <w:t>高中组</w:t>
      </w:r>
      <w:r>
        <w:rPr>
          <w:rFonts w:ascii="宋体" w:hAnsi="宋体" w:eastAsia="宋体" w:cs="宋体"/>
          <w:sz w:val="21"/>
        </w:rPr>
        <w:t>的比赛主题为</w:t>
      </w:r>
      <w:r>
        <w:rPr>
          <w:rFonts w:ascii="宋体" w:hAnsi="宋体" w:eastAsia="宋体" w:cs="宋体"/>
          <w:b/>
          <w:bCs/>
          <w:color w:val="FF0000"/>
          <w:sz w:val="21"/>
        </w:rPr>
        <w:t>《能源革新》</w:t>
      </w:r>
      <w:r>
        <w:rPr>
          <w:rFonts w:ascii="宋体" w:hAnsi="宋体" w:eastAsia="宋体" w:cs="宋体"/>
          <w:sz w:val="21"/>
        </w:rPr>
        <w:t xml:space="preserve">。 </w:t>
      </w:r>
    </w:p>
    <w:p>
      <w:pPr>
        <w:pStyle w:val="28"/>
        <w:adjustRightInd w:val="0"/>
        <w:snapToGrid w:val="0"/>
        <w:spacing w:line="360" w:lineRule="auto"/>
        <w:ind w:firstLine="420"/>
        <w:rPr>
          <w:sz w:val="21"/>
        </w:rPr>
      </w:pPr>
      <w:r>
        <w:rPr>
          <w:rFonts w:hint="eastAsia" w:ascii="宋体" w:hAnsi="宋体" w:eastAsia="宋体" w:cs="宋体"/>
          <w:sz w:val="21"/>
        </w:rPr>
        <w:t>再生能源是未来能源的基石，是解决资源分布不均的有效方案，是人类可持续发展的希望之光。再生能源融汇了人们对生产消费的思考及技术开发的创新，能源革新通过超级计算机和云计算技术，不仅将新能源产业链上的每个端口紧密相连，也将无数位热爱这个星球的人凝聚在一起，让我们一起来构建一个可持续发展的新能源地球吧！</w:t>
      </w:r>
    </w:p>
    <w:p>
      <w:pPr>
        <w:pStyle w:val="4"/>
        <w:keepNext w:val="0"/>
        <w:keepLines w:val="0"/>
        <w:numPr>
          <w:ilvl w:val="1"/>
          <w:numId w:val="10"/>
        </w:numPr>
        <w:tabs>
          <w:tab w:val="left" w:pos="668"/>
        </w:tabs>
        <w:autoSpaceDE w:val="0"/>
        <w:autoSpaceDN w:val="0"/>
        <w:spacing w:before="0" w:line="360" w:lineRule="auto"/>
        <w:ind w:left="0" w:firstLine="0"/>
        <w:jc w:val="left"/>
        <w:rPr>
          <w:rFonts w:ascii="宋体" w:hAnsi="宋体" w:eastAsia="宋体" w:cs="宋体"/>
          <w:b/>
          <w:bCs/>
          <w:color w:val="000000" w:themeColor="text1"/>
          <w:kern w:val="0"/>
          <w:lang w:val="zh-CN" w:bidi="zh-CN"/>
          <w14:textFill>
            <w14:solidFill>
              <w14:schemeClr w14:val="tx1"/>
            </w14:solidFill>
          </w14:textFill>
        </w:rPr>
      </w:pPr>
      <w:bookmarkStart w:id="22" w:name="_Toc720146061_WPSOffice_Level2"/>
      <w:r>
        <w:rPr>
          <w:rFonts w:hint="eastAsia" w:ascii="宋体" w:hAnsi="宋体" w:eastAsia="宋体" w:cs="宋体"/>
          <w:b/>
          <w:bCs/>
          <w:color w:val="000000" w:themeColor="text1"/>
          <w:kern w:val="0"/>
          <w:lang w:val="zh-CN" w:bidi="zh-CN"/>
          <w14:textFill>
            <w14:solidFill>
              <w14:schemeClr w14:val="tx1"/>
            </w14:solidFill>
          </w14:textFill>
        </w:rPr>
        <w:t>比赛简介</w:t>
      </w:r>
      <w:bookmarkEnd w:id="22"/>
    </w:p>
    <w:p>
      <w:pPr>
        <w:pStyle w:val="28"/>
        <w:adjustRightInd w:val="0"/>
        <w:snapToGrid w:val="0"/>
        <w:spacing w:line="360" w:lineRule="auto"/>
        <w:ind w:firstLine="420"/>
        <w:rPr>
          <w:rFonts w:ascii="宋体" w:hAnsi="宋体" w:eastAsia="宋体"/>
          <w:sz w:val="21"/>
          <w:szCs w:val="18"/>
        </w:rPr>
      </w:pPr>
      <w:r>
        <w:rPr>
          <w:rFonts w:hint="eastAsia" w:ascii="宋体" w:hAnsi="宋体" w:eastAsia="宋体" w:cs="宋体"/>
          <w:sz w:val="21"/>
          <w:szCs w:val="18"/>
        </w:rPr>
        <w:t>单</w:t>
      </w:r>
      <w:r>
        <w:rPr>
          <w:rFonts w:ascii="宋体" w:hAnsi="宋体" w:eastAsia="宋体"/>
          <w:sz w:val="21"/>
          <w:szCs w:val="18"/>
        </w:rPr>
        <w:t xml:space="preserve">场比赛时间：4分40秒。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MakeX </w:t>
      </w:r>
      <w:r>
        <w:rPr>
          <w:rFonts w:hint="eastAsia" w:ascii="宋体" w:hAnsi="宋体" w:eastAsia="宋体" w:cs="宋体"/>
          <w:sz w:val="21"/>
          <w:szCs w:val="18"/>
        </w:rPr>
        <w:t>高中组</w:t>
      </w:r>
      <w:r>
        <w:rPr>
          <w:rFonts w:ascii="宋体" w:hAnsi="宋体" w:eastAsia="宋体"/>
          <w:sz w:val="21"/>
          <w:szCs w:val="18"/>
        </w:rPr>
        <w:t>能源革新为竞技对抗赛，每场比赛分为红蓝两个联盟，每个联盟由2支</w:t>
      </w:r>
      <w:r>
        <w:rPr>
          <w:rFonts w:hint="eastAsia" w:ascii="宋体" w:hAnsi="宋体" w:eastAsia="宋体"/>
          <w:sz w:val="21"/>
          <w:szCs w:val="18"/>
        </w:rPr>
        <w:t>队伍</w:t>
      </w:r>
      <w:r>
        <w:rPr>
          <w:rFonts w:ascii="宋体" w:hAnsi="宋体" w:eastAsia="宋体"/>
          <w:sz w:val="21"/>
          <w:szCs w:val="18"/>
        </w:rPr>
        <w:t xml:space="preserve">组成。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比赛分为自动控制阶段、手动控制阶段、强化改装阶段和全力一搏阶段四个阶段。比赛中参赛选手将控制机器人，以自动或手动的方式完成启动及回收新能源球瓶（红</w:t>
      </w:r>
      <w:r>
        <w:rPr>
          <w:rFonts w:hint="eastAsia" w:ascii="宋体" w:hAnsi="宋体" w:eastAsia="宋体"/>
          <w:sz w:val="21"/>
          <w:szCs w:val="18"/>
        </w:rPr>
        <w:t>/蓝球</w:t>
      </w:r>
      <w:r>
        <w:rPr>
          <w:rFonts w:ascii="宋体" w:hAnsi="宋体" w:eastAsia="宋体"/>
          <w:sz w:val="21"/>
          <w:szCs w:val="18"/>
        </w:rPr>
        <w:t>瓶），计算及存储数据块（</w:t>
      </w:r>
      <w:r>
        <w:rPr>
          <w:rFonts w:hint="eastAsia" w:ascii="宋体" w:hAnsi="宋体" w:eastAsia="宋体"/>
          <w:sz w:val="21"/>
          <w:szCs w:val="18"/>
        </w:rPr>
        <w:t>字母</w:t>
      </w:r>
      <w:r>
        <w:rPr>
          <w:rFonts w:ascii="宋体" w:hAnsi="宋体" w:eastAsia="宋体"/>
          <w:sz w:val="21"/>
          <w:szCs w:val="18"/>
        </w:rPr>
        <w:t>方块）等任务；比赛结束时，裁判会根据场上的最终状态计算分数，分数高的联盟将获得比赛的胜利。</w:t>
      </w:r>
    </w:p>
    <w:p>
      <w:pPr>
        <w:pStyle w:val="4"/>
        <w:keepNext w:val="0"/>
        <w:keepLines w:val="0"/>
        <w:tabs>
          <w:tab w:val="left" w:pos="668"/>
        </w:tabs>
        <w:autoSpaceDE w:val="0"/>
        <w:autoSpaceDN w:val="0"/>
        <w:spacing w:before="0" w:line="360" w:lineRule="auto"/>
        <w:jc w:val="left"/>
        <w:rPr>
          <w:rFonts w:ascii="宋体" w:hAnsi="宋体" w:eastAsia="宋体" w:cs="宋体"/>
          <w:b/>
          <w:bCs/>
          <w:color w:val="000000" w:themeColor="text1"/>
          <w:kern w:val="0"/>
          <w:lang w:val="zh-CN" w:bidi="zh-CN"/>
          <w14:textFill>
            <w14:solidFill>
              <w14:schemeClr w14:val="tx1"/>
            </w14:solidFill>
          </w14:textFill>
        </w:rPr>
      </w:pPr>
      <w:bookmarkStart w:id="23" w:name="_Toc3674"/>
      <w:bookmarkStart w:id="24" w:name="_Toc277012735_WPSOffice_Level2"/>
      <w:bookmarkStart w:id="25" w:name="_Toc141616613"/>
      <w:r>
        <w:rPr>
          <w:rFonts w:hint="eastAsia" w:ascii="宋体" w:hAnsi="宋体" w:eastAsia="宋体" w:cs="宋体"/>
          <w:b/>
          <w:bCs/>
          <w:color w:val="000000" w:themeColor="text1"/>
          <w:kern w:val="0"/>
          <w:lang w:val="zh-CN" w:bidi="zh-CN"/>
          <w14:textFill>
            <w14:solidFill>
              <w14:schemeClr w14:val="tx1"/>
            </w14:solidFill>
          </w14:textFill>
        </w:rPr>
        <w:t>4</w:t>
      </w:r>
      <w:r>
        <w:rPr>
          <w:rFonts w:ascii="宋体" w:hAnsi="宋体" w:eastAsia="宋体" w:cs="宋体"/>
          <w:b/>
          <w:bCs/>
          <w:color w:val="000000" w:themeColor="text1"/>
          <w:kern w:val="0"/>
          <w:lang w:val="zh-CN" w:bidi="zh-CN"/>
          <w14:textFill>
            <w14:solidFill>
              <w14:schemeClr w14:val="tx1"/>
            </w14:solidFill>
          </w14:textFill>
        </w:rPr>
        <w:t xml:space="preserve">.2 </w:t>
      </w:r>
      <w:r>
        <w:rPr>
          <w:rFonts w:hint="eastAsia" w:ascii="宋体" w:hAnsi="宋体" w:eastAsia="宋体" w:cs="宋体"/>
          <w:b/>
          <w:bCs/>
          <w:color w:val="000000" w:themeColor="text1"/>
          <w:kern w:val="0"/>
          <w:lang w:val="zh-CN" w:bidi="zh-CN"/>
          <w14:textFill>
            <w14:solidFill>
              <w14:schemeClr w14:val="tx1"/>
            </w14:solidFill>
          </w14:textFill>
        </w:rPr>
        <w:t>场地说明</w:t>
      </w:r>
      <w:bookmarkEnd w:id="23"/>
      <w:bookmarkEnd w:id="24"/>
      <w:bookmarkEnd w:id="25"/>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 xml:space="preserve">MakeX Challenge能源革新比赛场地由地图和边框组成。比赛场地大小为2985mm * 4185mm的矩形区域，场地侧边框高度为400mm。主要包括启动区、可再生能源区、新能源数据存储中心、能源回收区、能源利用站、新能源数据收集中心、新能源数据计算中心、旗帜悬挂区等。 </w:t>
      </w:r>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新能源数据存储中心、新能源数据收集中心、新能源数据计算中心，下文中统一简称为：数据存储中心、数据收集中心、数据计算中心。</w:t>
      </w:r>
    </w:p>
    <w:p>
      <w:pPr>
        <w:pStyle w:val="28"/>
        <w:adjustRightInd w:val="0"/>
        <w:snapToGrid w:val="0"/>
        <w:spacing w:line="240" w:lineRule="atLeast"/>
        <w:ind w:firstLine="0" w:firstLineChars="0"/>
        <w:jc w:val="center"/>
      </w:pPr>
      <w:r>
        <w:drawing>
          <wp:inline distT="0" distB="0" distL="114300" distR="114300">
            <wp:extent cx="4838065" cy="3577590"/>
            <wp:effectExtent l="0" t="0" r="635" b="3810"/>
            <wp:docPr id="51" name="图片 51" descr="/Users/cody/Nutstore Files/我的坚果云/2022赛季MakeX Challenge 能源革新/2022赛季 MakeX Challenge能源革新规则配图/输出文件/CN/2022MakeXChallenge比赛场地/图4.2-2比赛地图区域标注/图4.2-2比赛地图区域标注已标注.png图4.2-2比赛地图区域标注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Users/cody/Nutstore Files/我的坚果云/2022赛季MakeX Challenge 能源革新/2022赛季 MakeX Challenge能源革新规则配图/输出文件/CN/2022MakeXChallenge比赛场地/图4.2-2比赛地图区域标注/图4.2-2比赛地图区域标注已标注.png图4.2-2比赛地图区域标注已标注"/>
                    <pic:cNvPicPr>
                      <a:picLocks noChangeAspect="1"/>
                    </pic:cNvPicPr>
                  </pic:nvPicPr>
                  <pic:blipFill>
                    <a:blip r:embed="rId10"/>
                    <a:srcRect l="9186" r="8904"/>
                    <a:stretch>
                      <a:fillRect/>
                    </a:stretch>
                  </pic:blipFill>
                  <pic:spPr>
                    <a:xfrm>
                      <a:off x="0" y="0"/>
                      <a:ext cx="4857238" cy="3591848"/>
                    </a:xfrm>
                    <a:prstGeom prst="rect">
                      <a:avLst/>
                    </a:prstGeom>
                    <a:ln>
                      <a:noFill/>
                    </a:ln>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图4.2-1 场地整体轴侧图</w:t>
      </w:r>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场地分为红方场地和蓝方场地，中央设有数据收集中心。双方机器人仅允许在各自场地内完成相应的任务。</w:t>
      </w:r>
    </w:p>
    <w:p>
      <w:pPr>
        <w:pStyle w:val="17"/>
        <w:adjustRightInd w:val="0"/>
        <w:snapToGrid w:val="0"/>
        <w:spacing w:line="240" w:lineRule="atLeast"/>
        <w:jc w:val="center"/>
      </w:pPr>
      <w:r>
        <w:rPr>
          <w:rFonts w:hint="eastAsia"/>
        </w:rPr>
        <w:drawing>
          <wp:inline distT="0" distB="0" distL="114300" distR="114300">
            <wp:extent cx="5048250" cy="2764155"/>
            <wp:effectExtent l="0" t="0" r="0" b="0"/>
            <wp:docPr id="8" name="图片 8" descr="916c4eb1-4afb-43ee-850f-16c312666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16c4eb1-4afb-43ee-850f-16c312666a8c"/>
                    <pic:cNvPicPr>
                      <a:picLocks noChangeAspect="1"/>
                    </pic:cNvPicPr>
                  </pic:nvPicPr>
                  <pic:blipFill>
                    <a:blip r:embed="rId11"/>
                    <a:stretch>
                      <a:fillRect/>
                    </a:stretch>
                  </pic:blipFill>
                  <pic:spPr>
                    <a:xfrm>
                      <a:off x="0" y="0"/>
                      <a:ext cx="5062988" cy="2772743"/>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图4.2-2 场地整体轴侧图</w:t>
      </w:r>
    </w:p>
    <w:p>
      <w:pPr>
        <w:pStyle w:val="28"/>
        <w:adjustRightInd w:val="0"/>
        <w:snapToGrid w:val="0"/>
        <w:spacing w:line="240" w:lineRule="atLeast"/>
        <w:ind w:firstLine="0" w:firstLineChars="0"/>
        <w:rPr>
          <w:rStyle w:val="83"/>
        </w:rPr>
      </w:pPr>
      <w:r>
        <w:rPr>
          <w:rFonts w:hint="eastAsia" w:ascii="思源黑体 CN Heavy" w:hAnsi="思源黑体 CN Heavy" w:eastAsia="思源黑体 CN Heavy"/>
          <w:b/>
          <w:color w:val="2E75B6" w:themeColor="accent1" w:themeShade="BF"/>
        </w:rPr>
        <w:t>数据收集中心</w:t>
      </w:r>
      <w:r>
        <w:rPr>
          <w:rStyle w:val="83"/>
          <w:rFonts w:hint="eastAsia"/>
        </w:rPr>
        <w:t xml:space="preserve"> </w:t>
      </w:r>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数据收集中心双方场地交界处有一处长宽为2985mm*200mm的数据收集中心（图4.2-3），数据收集中心放置有9个双方均可以获取的数据块，数据块的位置与顺序是固定摆放（图4.2-4 ）</w:t>
      </w:r>
      <w:r>
        <w:rPr>
          <w:rFonts w:hint="eastAsia" w:ascii="宋体" w:hAnsi="宋体" w:eastAsia="宋体"/>
          <w:color w:val="auto"/>
          <w:sz w:val="21"/>
          <w:szCs w:val="18"/>
        </w:rPr>
        <w:t>，</w:t>
      </w:r>
      <w:r>
        <w:rPr>
          <w:rFonts w:ascii="宋体" w:hAnsi="宋体" w:eastAsia="宋体"/>
          <w:color w:val="auto"/>
          <w:sz w:val="21"/>
          <w:szCs w:val="18"/>
        </w:rPr>
        <w:t>地面到数据收集中心的高度为254mm，地面到数据块最高的距离为335mm（图4.2-5 ）</w:t>
      </w:r>
      <w:r>
        <w:rPr>
          <w:rFonts w:hint="eastAsia" w:ascii="宋体" w:hAnsi="宋体" w:eastAsia="宋体"/>
          <w:color w:val="auto"/>
          <w:sz w:val="21"/>
          <w:szCs w:val="18"/>
        </w:rPr>
        <w:t>。</w:t>
      </w:r>
    </w:p>
    <w:p>
      <w:pPr>
        <w:pStyle w:val="7"/>
        <w:adjustRightInd w:val="0"/>
        <w:snapToGrid w:val="0"/>
        <w:spacing w:line="240" w:lineRule="atLeast"/>
        <w:jc w:val="center"/>
      </w:pPr>
      <w:r>
        <w:rPr>
          <w:rFonts w:hint="eastAsia"/>
        </w:rPr>
        <w:drawing>
          <wp:inline distT="0" distB="0" distL="114300" distR="114300">
            <wp:extent cx="5080000" cy="666750"/>
            <wp:effectExtent l="0" t="0" r="6350" b="0"/>
            <wp:docPr id="43" name="图片 43" descr="图4.2-3收集中心俯视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4.2-3收集中心俯视图已标注"/>
                    <pic:cNvPicPr>
                      <a:picLocks noChangeAspect="1"/>
                    </pic:cNvPicPr>
                  </pic:nvPicPr>
                  <pic:blipFill>
                    <a:blip r:embed="rId12"/>
                    <a:stretch>
                      <a:fillRect/>
                    </a:stretch>
                  </pic:blipFill>
                  <pic:spPr>
                    <a:xfrm>
                      <a:off x="0" y="0"/>
                      <a:ext cx="5102931" cy="670144"/>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图4.2-3 收集中心俯视图</w:t>
      </w:r>
    </w:p>
    <w:p>
      <w:pPr>
        <w:pStyle w:val="7"/>
        <w:adjustRightInd w:val="0"/>
        <w:snapToGrid w:val="0"/>
        <w:spacing w:line="240" w:lineRule="atLeast"/>
        <w:jc w:val="center"/>
      </w:pPr>
      <w:r>
        <w:rPr>
          <w:rFonts w:hint="eastAsia"/>
        </w:rPr>
        <w:drawing>
          <wp:inline distT="0" distB="0" distL="114300" distR="114300">
            <wp:extent cx="4889500" cy="764540"/>
            <wp:effectExtent l="0" t="0" r="6350" b="0"/>
            <wp:docPr id="44" name="图片 44" descr="图4.2-4数据块间隔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4.2-4数据块间隔示意图已标注"/>
                    <pic:cNvPicPr>
                      <a:picLocks noChangeAspect="1"/>
                    </pic:cNvPicPr>
                  </pic:nvPicPr>
                  <pic:blipFill>
                    <a:blip r:embed="rId13"/>
                    <a:stretch>
                      <a:fillRect/>
                    </a:stretch>
                  </pic:blipFill>
                  <pic:spPr>
                    <a:xfrm>
                      <a:off x="0" y="0"/>
                      <a:ext cx="4890052" cy="765023"/>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图4.2-4 数据块间隔示意图</w:t>
      </w:r>
    </w:p>
    <w:p>
      <w:pPr>
        <w:pStyle w:val="7"/>
        <w:adjustRightInd w:val="0"/>
        <w:snapToGrid w:val="0"/>
        <w:spacing w:line="240" w:lineRule="atLeast"/>
      </w:pPr>
      <w:r>
        <w:drawing>
          <wp:inline distT="0" distB="0" distL="114300" distR="114300">
            <wp:extent cx="5056505" cy="1630680"/>
            <wp:effectExtent l="0" t="0" r="0" b="7620"/>
            <wp:docPr id="13" name="图片 13" descr="图4.2-4数数据收集中心正视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4.2-4数数据收集中心正视图已标注"/>
                    <pic:cNvPicPr>
                      <a:picLocks noChangeAspect="1"/>
                    </pic:cNvPicPr>
                  </pic:nvPicPr>
                  <pic:blipFill>
                    <a:blip r:embed="rId14"/>
                    <a:stretch>
                      <a:fillRect/>
                    </a:stretch>
                  </pic:blipFill>
                  <pic:spPr>
                    <a:xfrm>
                      <a:off x="0" y="0"/>
                      <a:ext cx="5069305" cy="1634768"/>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图4.2-5 数据收集中心正视图</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启动区 </w:t>
      </w:r>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双方场地各有两处启动区，每个启动区的尺寸为500mm*500mm。启动区是自动阶段和全力一搏阶段前机器人放置的区域，启动区位于场地的四个角落。</w:t>
      </w:r>
    </w:p>
    <w:p>
      <w:pPr>
        <w:pStyle w:val="28"/>
        <w:adjustRightInd w:val="0"/>
        <w:snapToGrid w:val="0"/>
        <w:spacing w:line="240" w:lineRule="atLeast"/>
        <w:ind w:firstLine="480"/>
        <w:jc w:val="center"/>
        <w:rPr>
          <w:rFonts w:ascii="宋体" w:hAnsi="宋体" w:eastAsia="宋体" w:cs="宋体"/>
          <w:kern w:val="0"/>
          <w:szCs w:val="24"/>
          <w:lang w:bidi="ar"/>
        </w:rPr>
      </w:pPr>
      <w:r>
        <w:rPr>
          <w:rFonts w:ascii="宋体" w:hAnsi="宋体" w:eastAsia="宋体" w:cs="宋体"/>
          <w:kern w:val="0"/>
          <w:szCs w:val="24"/>
          <w:lang w:bidi="ar"/>
        </w:rPr>
        <w:drawing>
          <wp:inline distT="0" distB="0" distL="114300" distR="114300">
            <wp:extent cx="2856865" cy="1478915"/>
            <wp:effectExtent l="0" t="0" r="635" b="6985"/>
            <wp:docPr id="4" name="图片 4" descr="图4.2-5.启动区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4.2-5.启动区示意图已标注"/>
                    <pic:cNvPicPr>
                      <a:picLocks noChangeAspect="1"/>
                    </pic:cNvPicPr>
                  </pic:nvPicPr>
                  <pic:blipFill>
                    <a:blip r:embed="rId15"/>
                    <a:stretch>
                      <a:fillRect/>
                    </a:stretch>
                  </pic:blipFill>
                  <pic:spPr>
                    <a:xfrm>
                      <a:off x="0" y="0"/>
                      <a:ext cx="2880167" cy="1490794"/>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图4.2-6 启动区示意图</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数据计算中心 </w:t>
      </w:r>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双方场地各有一处数据计算中心，计算中心的尺寸为2985mm*200mm。双方选手可以将</w:t>
      </w:r>
      <w:r>
        <w:rPr>
          <w:rFonts w:hint="eastAsia" w:ascii="宋体" w:hAnsi="宋体" w:eastAsia="宋体"/>
          <w:color w:val="auto"/>
          <w:sz w:val="21"/>
          <w:szCs w:val="18"/>
        </w:rPr>
        <w:t>字母</w:t>
      </w:r>
      <w:r>
        <w:rPr>
          <w:rFonts w:ascii="宋体" w:hAnsi="宋体" w:eastAsia="宋体"/>
          <w:color w:val="auto"/>
          <w:sz w:val="21"/>
          <w:szCs w:val="18"/>
        </w:rPr>
        <w:t>方块在</w:t>
      </w:r>
      <w:r>
        <w:rPr>
          <w:rFonts w:hint="eastAsia" w:ascii="宋体" w:hAnsi="宋体" w:eastAsia="宋体"/>
          <w:color w:val="auto"/>
          <w:sz w:val="21"/>
          <w:szCs w:val="18"/>
        </w:rPr>
        <w:t>数据</w:t>
      </w:r>
      <w:r>
        <w:rPr>
          <w:rFonts w:ascii="宋体" w:hAnsi="宋体" w:eastAsia="宋体"/>
          <w:color w:val="auto"/>
          <w:sz w:val="21"/>
          <w:szCs w:val="18"/>
        </w:rPr>
        <w:t>计算中心放置或堆叠，以保护回收区和可再生能源区的球瓶不被攻击。</w:t>
      </w:r>
    </w:p>
    <w:p>
      <w:pPr>
        <w:pStyle w:val="28"/>
        <w:adjustRightInd w:val="0"/>
        <w:snapToGrid w:val="0"/>
        <w:spacing w:line="240" w:lineRule="atLeast"/>
        <w:ind w:firstLine="0" w:firstLineChars="0"/>
        <w:jc w:val="center"/>
      </w:pPr>
      <w:r>
        <w:drawing>
          <wp:inline distT="0" distB="0" distL="114300" distR="114300">
            <wp:extent cx="4810125" cy="1296670"/>
            <wp:effectExtent l="0" t="0" r="0" b="0"/>
            <wp:docPr id="5" name="图片 5" descr="图4.2-7.数据计算中心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4.2-7.数据计算中心示意图已标注"/>
                    <pic:cNvPicPr>
                      <a:picLocks noChangeAspect="1"/>
                    </pic:cNvPicPr>
                  </pic:nvPicPr>
                  <pic:blipFill>
                    <a:blip r:embed="rId16"/>
                    <a:stretch>
                      <a:fillRect/>
                    </a:stretch>
                  </pic:blipFill>
                  <pic:spPr>
                    <a:xfrm>
                      <a:off x="0" y="0"/>
                      <a:ext cx="4833627" cy="1303286"/>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图4.2-7 数据计算中心示意图</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能源回收区 </w:t>
      </w:r>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双方场地各有一处能源回收区，能源回收区的尺寸为500mm*1000mm。双方选手可以将被击落的可再生能源瓶放置于该区域以获得相应分数。</w:t>
      </w:r>
    </w:p>
    <w:p>
      <w:pPr>
        <w:pStyle w:val="17"/>
        <w:adjustRightInd w:val="0"/>
        <w:snapToGrid w:val="0"/>
        <w:spacing w:line="240" w:lineRule="atLeast"/>
        <w:jc w:val="center"/>
      </w:pPr>
      <w:r>
        <w:rPr>
          <w:rFonts w:hint="eastAsia"/>
        </w:rPr>
        <w:drawing>
          <wp:inline distT="0" distB="0" distL="114300" distR="114300">
            <wp:extent cx="3496945" cy="1737995"/>
            <wp:effectExtent l="0" t="0" r="0" b="15240"/>
            <wp:docPr id="12" name="图片 12" descr="f5ad91e8-dba3-45e2-9773-1b6fab6bb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5ad91e8-dba3-45e2-9773-1b6fab6bb1b5"/>
                    <pic:cNvPicPr>
                      <a:picLocks noChangeAspect="1"/>
                    </pic:cNvPicPr>
                  </pic:nvPicPr>
                  <pic:blipFill>
                    <a:blip r:embed="rId17"/>
                    <a:stretch>
                      <a:fillRect/>
                    </a:stretch>
                  </pic:blipFill>
                  <pic:spPr>
                    <a:xfrm>
                      <a:off x="0" y="0"/>
                      <a:ext cx="3496945" cy="1737995"/>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图4.2-8 能源回收区俯视图</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能源利用站 </w:t>
      </w:r>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双方场地各有两处能源利用站，能源利用站的尺寸为：230mm*230mm</w:t>
      </w:r>
      <w:r>
        <w:rPr>
          <w:rFonts w:hint="eastAsia" w:ascii="宋体" w:hAnsi="宋体" w:eastAsia="宋体"/>
          <w:color w:val="auto"/>
          <w:sz w:val="21"/>
          <w:szCs w:val="18"/>
        </w:rPr>
        <w:t>。</w:t>
      </w:r>
      <w:r>
        <w:rPr>
          <w:rFonts w:ascii="宋体" w:hAnsi="宋体" w:eastAsia="宋体"/>
          <w:color w:val="auto"/>
          <w:sz w:val="21"/>
          <w:szCs w:val="18"/>
        </w:rPr>
        <w:t xml:space="preserve">每处放置16个直径70mm的能源启动球，双方选手可收集己方场地内的能源启动球，击打对方球瓶。 </w:t>
      </w:r>
    </w:p>
    <w:p>
      <w:pPr>
        <w:pStyle w:val="28"/>
        <w:adjustRightInd w:val="0"/>
        <w:snapToGrid w:val="0"/>
        <w:spacing w:line="240" w:lineRule="atLeast"/>
        <w:ind w:firstLine="480"/>
        <w:jc w:val="center"/>
      </w:pPr>
      <w:r>
        <w:drawing>
          <wp:inline distT="0" distB="0" distL="114300" distR="114300">
            <wp:extent cx="2822575" cy="1407795"/>
            <wp:effectExtent l="0" t="0" r="22225" b="14605"/>
            <wp:docPr id="9" name="图片 9" descr="能源利用站标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能源利用站标注图"/>
                    <pic:cNvPicPr>
                      <a:picLocks noChangeAspect="1"/>
                    </pic:cNvPicPr>
                  </pic:nvPicPr>
                  <pic:blipFill>
                    <a:blip r:embed="rId18"/>
                    <a:stretch>
                      <a:fillRect/>
                    </a:stretch>
                  </pic:blipFill>
                  <pic:spPr>
                    <a:xfrm>
                      <a:off x="0" y="0"/>
                      <a:ext cx="2822575" cy="1407795"/>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 xml:space="preserve">图4.2-9 能源利用站示意图 </w:t>
      </w:r>
    </w:p>
    <w:p>
      <w:pPr>
        <w:pStyle w:val="72"/>
        <w:adjustRightInd w:val="0"/>
        <w:snapToGrid w:val="0"/>
        <w:spacing w:after="156" w:afterLines="50" w:line="240" w:lineRule="atLeast"/>
        <w:rPr>
          <w:rFonts w:ascii="宋体" w:hAnsi="宋体" w:eastAsia="宋体"/>
          <w:b w:val="0"/>
        </w:rPr>
      </w:pPr>
      <w:r>
        <w:rPr>
          <w:rFonts w:hint="eastAsia" w:ascii="宋体" w:hAnsi="宋体" w:eastAsia="宋体"/>
        </w:rPr>
        <w:t>可再生能源区</w:t>
      </w:r>
      <w:r>
        <w:rPr>
          <w:rFonts w:hint="eastAsia" w:ascii="宋体" w:hAnsi="宋体" w:eastAsia="宋体"/>
          <w:b w:val="0"/>
        </w:rPr>
        <w:t xml:space="preserve">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双方场地各有一处可再生能源区，可再生能源区分为上下两层,上层区域尺寸为：110mm*2895mm,下层区域尺寸为：150mm*885mm，每方场地各有12个可再生能源瓶，参赛队伍可将12个可再生能源瓶放置在可再生能源区域内，每层放置的可再生能源瓶的位置和数量由双方联盟队长在赛前决定。</w:t>
      </w:r>
    </w:p>
    <w:p>
      <w:pPr>
        <w:pStyle w:val="28"/>
        <w:adjustRightInd w:val="0"/>
        <w:snapToGrid w:val="0"/>
        <w:spacing w:line="240" w:lineRule="atLeast"/>
        <w:ind w:firstLine="480"/>
        <w:jc w:val="center"/>
      </w:pPr>
      <w:r>
        <w:drawing>
          <wp:inline distT="0" distB="0" distL="114300" distR="114300">
            <wp:extent cx="4977130" cy="3207385"/>
            <wp:effectExtent l="0" t="0" r="1270" b="5715"/>
            <wp:docPr id="14" name="图片 14" descr="图4.2-10 可再生能源区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4.2-10 可再生能源区示意图已标注"/>
                    <pic:cNvPicPr>
                      <a:picLocks noChangeAspect="1"/>
                    </pic:cNvPicPr>
                  </pic:nvPicPr>
                  <pic:blipFill>
                    <a:blip r:embed="rId19"/>
                    <a:srcRect b="3162"/>
                    <a:stretch>
                      <a:fillRect/>
                    </a:stretch>
                  </pic:blipFill>
                  <pic:spPr>
                    <a:xfrm>
                      <a:off x="0" y="0"/>
                      <a:ext cx="4977130" cy="3207433"/>
                    </a:xfrm>
                    <a:prstGeom prst="rect">
                      <a:avLst/>
                    </a:prstGeom>
                    <a:ln>
                      <a:noFill/>
                    </a:ln>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 xml:space="preserve">图4.2-10 可再生能源区示意图 </w:t>
      </w:r>
    </w:p>
    <w:p>
      <w:pPr>
        <w:pStyle w:val="72"/>
        <w:adjustRightInd w:val="0"/>
        <w:snapToGrid w:val="0"/>
        <w:spacing w:after="156" w:afterLines="50" w:line="240" w:lineRule="atLeast"/>
        <w:rPr>
          <w:rFonts w:ascii="宋体" w:hAnsi="宋体" w:eastAsia="宋体"/>
        </w:rPr>
      </w:pPr>
      <w:r>
        <w:rPr>
          <w:rFonts w:hint="eastAsia" w:ascii="宋体" w:hAnsi="宋体" w:eastAsia="宋体"/>
        </w:rPr>
        <w:t>数据存储中心</w:t>
      </w:r>
      <w:r>
        <w:rPr>
          <w:rFonts w:ascii="宋体" w:hAnsi="宋体" w:eastAsia="宋体"/>
        </w:rPr>
        <w:t xml:space="preserve">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双方场地中各有一处数据存储中心，数据存储中心由960mm八棱柱和220mm扁铝等结构件组成。双方机器人可以将数据块插入扁铝突出部位。扁铝突出部位横截面尺寸为：50mm*15mm，三横两竖排列。 </w:t>
      </w:r>
    </w:p>
    <w:p>
      <w:pPr>
        <w:pStyle w:val="28"/>
        <w:adjustRightInd w:val="0"/>
        <w:snapToGrid w:val="0"/>
        <w:spacing w:line="240" w:lineRule="atLeast"/>
        <w:ind w:firstLine="480"/>
      </w:pPr>
      <w:r>
        <w:rPr>
          <w:rFonts w:hint="eastAsia"/>
        </w:rPr>
        <w:drawing>
          <wp:inline distT="0" distB="0" distL="114300" distR="114300">
            <wp:extent cx="5262245" cy="1915795"/>
            <wp:effectExtent l="0" t="0" r="20955" b="14605"/>
            <wp:docPr id="45" name="图片 45" descr="图4.2-11 数据存储中心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4.2-11 数据存储中心已标注"/>
                    <pic:cNvPicPr>
                      <a:picLocks noChangeAspect="1"/>
                    </pic:cNvPicPr>
                  </pic:nvPicPr>
                  <pic:blipFill>
                    <a:blip r:embed="rId20"/>
                    <a:stretch>
                      <a:fillRect/>
                    </a:stretch>
                  </pic:blipFill>
                  <pic:spPr>
                    <a:xfrm>
                      <a:off x="0" y="0"/>
                      <a:ext cx="5262245" cy="1915795"/>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 xml:space="preserve">图4.2-11 数据存储中心 </w:t>
      </w:r>
    </w:p>
    <w:p>
      <w:pPr>
        <w:pStyle w:val="72"/>
        <w:adjustRightInd w:val="0"/>
        <w:snapToGrid w:val="0"/>
        <w:spacing w:after="156" w:afterLines="50" w:line="240" w:lineRule="atLeast"/>
        <w:rPr>
          <w:rFonts w:ascii="宋体" w:hAnsi="宋体" w:eastAsia="宋体"/>
          <w:bCs/>
        </w:rPr>
      </w:pPr>
      <w:r>
        <w:rPr>
          <w:rFonts w:hint="eastAsia" w:ascii="宋体" w:hAnsi="宋体" w:eastAsia="宋体"/>
          <w:bCs/>
        </w:rPr>
        <w:t xml:space="preserve">旗帜悬挂区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双方场地各有两个对称的旗杆，旗杆距离地面的高度960mm, 其横向扁铝长度为160mm, 扁铝朝向场地内与边框呈45度，该扁铝用于悬挂队旗。 </w:t>
      </w:r>
    </w:p>
    <w:p>
      <w:pPr>
        <w:pStyle w:val="28"/>
        <w:adjustRightInd w:val="0"/>
        <w:snapToGrid w:val="0"/>
        <w:spacing w:line="240" w:lineRule="atLeast"/>
        <w:ind w:firstLine="480"/>
      </w:pPr>
      <w:r>
        <w:drawing>
          <wp:inline distT="0" distB="0" distL="114300" distR="114300">
            <wp:extent cx="5272405" cy="4254500"/>
            <wp:effectExtent l="0" t="0" r="0" b="12700"/>
            <wp:docPr id="46" name="图片 46" descr="图4.2-12 旗帜悬挂区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4.2-12 旗帜悬挂区示意图已标注"/>
                    <pic:cNvPicPr>
                      <a:picLocks noChangeAspect="1"/>
                    </pic:cNvPicPr>
                  </pic:nvPicPr>
                  <pic:blipFill>
                    <a:blip r:embed="rId21"/>
                    <a:stretch>
                      <a:fillRect/>
                    </a:stretch>
                  </pic:blipFill>
                  <pic:spPr>
                    <a:xfrm>
                      <a:off x="0" y="0"/>
                      <a:ext cx="5272405" cy="4254500"/>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 xml:space="preserve">图4.2-12 </w:t>
      </w:r>
      <w:commentRangeStart w:id="0"/>
      <w:r>
        <w:rPr>
          <w:rFonts w:ascii="微软雅黑" w:hAnsi="微软雅黑" w:eastAsia="微软雅黑" w:cs="微软雅黑"/>
          <w:sz w:val="18"/>
          <w:szCs w:val="15"/>
        </w:rPr>
        <w:t>旗帜悬挂区示意</w:t>
      </w:r>
      <w:commentRangeEnd w:id="0"/>
      <w:r>
        <w:rPr>
          <w:rStyle w:val="26"/>
        </w:rPr>
        <w:commentReference w:id="0"/>
      </w:r>
      <w:r>
        <w:rPr>
          <w:rFonts w:ascii="微软雅黑" w:hAnsi="微软雅黑" w:eastAsia="微软雅黑" w:cs="微软雅黑"/>
          <w:sz w:val="18"/>
          <w:szCs w:val="15"/>
        </w:rPr>
        <w:t>图</w:t>
      </w:r>
    </w:p>
    <w:p>
      <w:pPr>
        <w:pStyle w:val="4"/>
        <w:keepNext w:val="0"/>
        <w:keepLines w:val="0"/>
        <w:tabs>
          <w:tab w:val="left" w:pos="668"/>
        </w:tabs>
        <w:autoSpaceDE w:val="0"/>
        <w:autoSpaceDN w:val="0"/>
        <w:spacing w:before="0" w:line="360" w:lineRule="auto"/>
        <w:jc w:val="left"/>
        <w:rPr>
          <w:rFonts w:ascii="宋体" w:hAnsi="宋体" w:eastAsia="宋体" w:cs="宋体"/>
          <w:b/>
          <w:bCs/>
          <w:color w:val="000000" w:themeColor="text1"/>
          <w:kern w:val="0"/>
          <w:lang w:val="zh-CN" w:bidi="zh-CN"/>
          <w14:textFill>
            <w14:solidFill>
              <w14:schemeClr w14:val="tx1"/>
            </w14:solidFill>
          </w14:textFill>
        </w:rPr>
      </w:pPr>
      <w:bookmarkStart w:id="26" w:name="_Toc738533815"/>
      <w:bookmarkStart w:id="27" w:name="_Toc6188"/>
      <w:bookmarkStart w:id="28" w:name="_Toc8490449_WPSOffice_Level2"/>
      <w:r>
        <w:rPr>
          <w:rFonts w:hint="eastAsia" w:ascii="宋体" w:hAnsi="宋体" w:eastAsia="宋体" w:cs="宋体"/>
          <w:b/>
          <w:bCs/>
          <w:color w:val="000000" w:themeColor="text1"/>
          <w:kern w:val="0"/>
          <w:lang w:val="zh-CN" w:bidi="zh-CN"/>
          <w14:textFill>
            <w14:solidFill>
              <w14:schemeClr w14:val="tx1"/>
            </w14:solidFill>
          </w14:textFill>
        </w:rPr>
        <w:t>4</w:t>
      </w:r>
      <w:r>
        <w:rPr>
          <w:rFonts w:ascii="宋体" w:hAnsi="宋体" w:eastAsia="宋体" w:cs="宋体"/>
          <w:b/>
          <w:bCs/>
          <w:color w:val="000000" w:themeColor="text1"/>
          <w:kern w:val="0"/>
          <w:lang w:val="zh-CN" w:bidi="zh-CN"/>
          <w14:textFill>
            <w14:solidFill>
              <w14:schemeClr w14:val="tx1"/>
            </w14:solidFill>
          </w14:textFill>
        </w:rPr>
        <w:t xml:space="preserve">.3 </w:t>
      </w:r>
      <w:r>
        <w:rPr>
          <w:rFonts w:hint="eastAsia" w:ascii="宋体" w:hAnsi="宋体" w:eastAsia="宋体" w:cs="宋体"/>
          <w:b/>
          <w:bCs/>
          <w:color w:val="000000" w:themeColor="text1"/>
          <w:kern w:val="0"/>
          <w:lang w:val="zh-CN" w:bidi="zh-CN"/>
          <w14:textFill>
            <w14:solidFill>
              <w14:schemeClr w14:val="tx1"/>
            </w14:solidFill>
          </w14:textFill>
        </w:rPr>
        <w:t>道具清单</w:t>
      </w:r>
      <w:bookmarkEnd w:id="26"/>
      <w:bookmarkEnd w:id="27"/>
      <w:bookmarkEnd w:id="28"/>
    </w:p>
    <w:p>
      <w:pPr>
        <w:pStyle w:val="28"/>
        <w:adjustRightInd w:val="0"/>
        <w:snapToGrid w:val="0"/>
        <w:spacing w:line="360" w:lineRule="auto"/>
        <w:ind w:firstLine="420"/>
        <w:rPr>
          <w:rFonts w:ascii="宋体" w:hAnsi="宋体" w:eastAsia="宋体"/>
          <w:sz w:val="21"/>
          <w:szCs w:val="18"/>
        </w:rPr>
      </w:pPr>
      <w:r>
        <w:rPr>
          <w:rFonts w:hint="eastAsia" w:ascii="宋体" w:hAnsi="宋体" w:eastAsia="宋体"/>
          <w:sz w:val="21"/>
          <w:szCs w:val="18"/>
        </w:rPr>
        <w:t>比赛开始前场地道具初始摆放位置如图4.3-1中所示：</w:t>
      </w:r>
    </w:p>
    <w:p>
      <w:pPr>
        <w:pStyle w:val="28"/>
        <w:adjustRightInd w:val="0"/>
        <w:snapToGrid w:val="0"/>
        <w:spacing w:line="240" w:lineRule="atLeast"/>
        <w:ind w:firstLine="480"/>
      </w:pPr>
      <w:r>
        <w:rPr>
          <w:rFonts w:hint="eastAsia"/>
        </w:rPr>
        <w:drawing>
          <wp:inline distT="0" distB="0" distL="114300" distR="114300">
            <wp:extent cx="4935220" cy="2390775"/>
            <wp:effectExtent l="0" t="0" r="0" b="0"/>
            <wp:docPr id="17" name="图片 17" descr="图4.3-1 场地道具初始摆放位置图已标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4.3-1 场地道具初始摆放位置图已标注1"/>
                    <pic:cNvPicPr>
                      <a:picLocks noChangeAspect="1"/>
                    </pic:cNvPicPr>
                  </pic:nvPicPr>
                  <pic:blipFill>
                    <a:blip r:embed="rId22"/>
                    <a:stretch>
                      <a:fillRect/>
                    </a:stretch>
                  </pic:blipFill>
                  <pic:spPr>
                    <a:xfrm>
                      <a:off x="0" y="0"/>
                      <a:ext cx="4937371" cy="2391627"/>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图4.3-1 场地道具初始摆放位置图</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能源启动球 </w:t>
      </w:r>
    </w:p>
    <w:p>
      <w:pPr>
        <w:pStyle w:val="28"/>
        <w:adjustRightInd w:val="0"/>
        <w:snapToGrid w:val="0"/>
        <w:spacing w:line="360" w:lineRule="auto"/>
        <w:ind w:firstLine="420"/>
        <w:rPr>
          <w:rFonts w:ascii="宋体" w:hAnsi="宋体" w:eastAsia="宋体"/>
          <w:sz w:val="21"/>
          <w:szCs w:val="18"/>
        </w:rPr>
      </w:pPr>
      <w:r>
        <w:rPr>
          <w:rFonts w:hint="eastAsia" w:ascii="宋体" w:hAnsi="宋体" w:eastAsia="宋体"/>
          <w:sz w:val="21"/>
          <w:szCs w:val="18"/>
        </w:rPr>
        <w:t>能源启动球为双方场地上能源里利用站内放置的黄色球，材质：EVA，能源启动球尺寸</w:t>
      </w:r>
      <w:r>
        <w:rPr>
          <w:rFonts w:ascii="宋体" w:hAnsi="宋体" w:eastAsia="宋体"/>
          <w:sz w:val="21"/>
          <w:szCs w:val="18"/>
        </w:rPr>
        <w:t>：</w:t>
      </w:r>
      <w:r>
        <w:rPr>
          <w:rFonts w:hint="eastAsia" w:ascii="宋体" w:hAnsi="宋体" w:eastAsia="宋体"/>
          <w:sz w:val="21"/>
          <w:szCs w:val="18"/>
        </w:rPr>
        <w:t>70mm。比赛开始前每个能源利用站固定放置16个，全场共64个。可通过机器人发射击打对方球瓶，完成启动可再生能源瓶任务。</w:t>
      </w:r>
    </w:p>
    <w:p>
      <w:pPr>
        <w:pStyle w:val="28"/>
        <w:adjustRightInd w:val="0"/>
        <w:snapToGrid w:val="0"/>
        <w:spacing w:line="240" w:lineRule="atLeast"/>
        <w:ind w:firstLine="480"/>
        <w:jc w:val="center"/>
      </w:pPr>
      <w:r>
        <w:rPr>
          <w:rFonts w:hint="eastAsia"/>
        </w:rPr>
        <w:drawing>
          <wp:inline distT="0" distB="0" distL="114300" distR="114300">
            <wp:extent cx="3609975" cy="1488440"/>
            <wp:effectExtent l="0" t="0" r="0" b="0"/>
            <wp:docPr id="18" name="图片 18" descr="资源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1@4x"/>
                    <pic:cNvPicPr>
                      <a:picLocks noChangeAspect="1"/>
                    </pic:cNvPicPr>
                  </pic:nvPicPr>
                  <pic:blipFill>
                    <a:blip r:embed="rId23"/>
                    <a:stretch>
                      <a:fillRect/>
                    </a:stretch>
                  </pic:blipFill>
                  <pic:spPr>
                    <a:xfrm>
                      <a:off x="0" y="0"/>
                      <a:ext cx="3611559" cy="1489194"/>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图4.3-2 能源启动球示意图</w:t>
      </w:r>
    </w:p>
    <w:p>
      <w:pPr>
        <w:pStyle w:val="72"/>
        <w:adjustRightInd w:val="0"/>
        <w:snapToGrid w:val="0"/>
        <w:spacing w:after="156" w:afterLines="50" w:line="240" w:lineRule="atLeast"/>
        <w:rPr>
          <w:rFonts w:ascii="宋体" w:hAnsi="宋体" w:eastAsia="宋体"/>
          <w:bCs/>
        </w:rPr>
      </w:pPr>
      <w:r>
        <w:rPr>
          <w:rFonts w:hint="eastAsia" w:ascii="宋体" w:hAnsi="宋体" w:eastAsia="宋体"/>
          <w:bCs/>
        </w:rPr>
        <w:t xml:space="preserve">可再生能源瓶 </w:t>
      </w:r>
    </w:p>
    <w:p>
      <w:pPr>
        <w:pStyle w:val="28"/>
        <w:adjustRightInd w:val="0"/>
        <w:snapToGrid w:val="0"/>
        <w:spacing w:line="360" w:lineRule="auto"/>
        <w:ind w:firstLine="420"/>
        <w:rPr>
          <w:rFonts w:ascii="宋体" w:hAnsi="宋体" w:eastAsia="宋体"/>
          <w:sz w:val="21"/>
          <w:szCs w:val="18"/>
        </w:rPr>
      </w:pPr>
      <w:r>
        <w:rPr>
          <w:rFonts w:hint="eastAsia" w:ascii="宋体" w:hAnsi="宋体" w:eastAsia="宋体"/>
          <w:sz w:val="21"/>
          <w:szCs w:val="18"/>
        </w:rPr>
        <w:t>可再生能源瓶为双方场地可再生能源区中摆放的红/蓝球瓶，材质：EVA，可再生能源球瓶尺寸：高 290mm，底部直径 70mm，最大直径 100mm（注：此道具均允许±10mm 的公差），每方半场各有12个，全场共24个。可使用能源启动球将可再生能源球瓶启动。</w:t>
      </w:r>
    </w:p>
    <w:p>
      <w:pPr>
        <w:pStyle w:val="28"/>
        <w:adjustRightInd w:val="0"/>
        <w:snapToGrid w:val="0"/>
        <w:spacing w:line="240" w:lineRule="atLeast"/>
        <w:ind w:firstLine="480"/>
        <w:jc w:val="center"/>
      </w:pPr>
      <w:r>
        <w:rPr>
          <w:rFonts w:hint="eastAsia"/>
        </w:rPr>
        <w:drawing>
          <wp:inline distT="0" distB="0" distL="114300" distR="114300">
            <wp:extent cx="3314700" cy="2066290"/>
            <wp:effectExtent l="0" t="0" r="0" b="0"/>
            <wp:docPr id="19" name="图片 19" descr="图4.3-3 可再生能源瓶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4.3-3 可再生能源瓶示意图"/>
                    <pic:cNvPicPr>
                      <a:picLocks noChangeAspect="1"/>
                    </pic:cNvPicPr>
                  </pic:nvPicPr>
                  <pic:blipFill>
                    <a:blip r:embed="rId24"/>
                    <a:stretch>
                      <a:fillRect/>
                    </a:stretch>
                  </pic:blipFill>
                  <pic:spPr>
                    <a:xfrm>
                      <a:off x="0" y="0"/>
                      <a:ext cx="3317318" cy="2068059"/>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图4.3-3 可再生能源瓶示意图</w:t>
      </w:r>
    </w:p>
    <w:p>
      <w:pPr>
        <w:pStyle w:val="72"/>
        <w:adjustRightInd w:val="0"/>
        <w:snapToGrid w:val="0"/>
        <w:spacing w:after="156" w:afterLines="50" w:line="240" w:lineRule="atLeast"/>
        <w:rPr>
          <w:rFonts w:ascii="宋体" w:hAnsi="宋体" w:eastAsia="宋体"/>
          <w:bCs/>
        </w:rPr>
      </w:pPr>
      <w:r>
        <w:rPr>
          <w:rFonts w:hint="eastAsia" w:ascii="宋体" w:hAnsi="宋体" w:eastAsia="宋体"/>
          <w:bCs/>
        </w:rPr>
        <w:t xml:space="preserve">数据块 </w:t>
      </w:r>
    </w:p>
    <w:p>
      <w:pPr>
        <w:pStyle w:val="28"/>
        <w:adjustRightInd w:val="0"/>
        <w:snapToGrid w:val="0"/>
        <w:spacing w:line="360" w:lineRule="auto"/>
        <w:ind w:firstLine="420"/>
        <w:rPr>
          <w:rFonts w:ascii="宋体" w:hAnsi="宋体" w:eastAsia="宋体"/>
          <w:sz w:val="21"/>
          <w:szCs w:val="18"/>
        </w:rPr>
      </w:pPr>
      <w:r>
        <w:rPr>
          <w:rFonts w:hint="eastAsia" w:ascii="宋体" w:hAnsi="宋体" w:eastAsia="宋体"/>
          <w:sz w:val="21"/>
          <w:szCs w:val="18"/>
        </w:rPr>
        <w:t xml:space="preserve">数据块为比赛场地中央数据收集站中摆放的字母方块，材质：EVA，数据块尺寸：边长为120mm正方形方块，其中一面有十字孔，（如图4.3-4）共9个，其中标有「M」「A」「K」「E」的方块各有1个，标有「X」的方块有5个，此道具为参赛双方的共有比赛道具，数据块允许被用于完成争夺数据块、计算数据块、存储数据块等任务。（注：此道具均允许±5mm 的公差） </w:t>
      </w:r>
    </w:p>
    <w:p>
      <w:pPr>
        <w:pStyle w:val="28"/>
        <w:adjustRightInd w:val="0"/>
        <w:snapToGrid w:val="0"/>
        <w:spacing w:line="240" w:lineRule="atLeast"/>
        <w:ind w:firstLine="480"/>
        <w:jc w:val="center"/>
      </w:pPr>
      <w:r>
        <w:rPr>
          <w:rFonts w:hint="eastAsia"/>
        </w:rPr>
        <w:drawing>
          <wp:inline distT="0" distB="0" distL="114300" distR="114300">
            <wp:extent cx="3742690" cy="3439160"/>
            <wp:effectExtent l="0" t="0" r="16510" b="15240"/>
            <wp:docPr id="20" name="图片 20" descr="图4.3-4数据块示意图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4.3-4数据块示意图CN"/>
                    <pic:cNvPicPr>
                      <a:picLocks noChangeAspect="1"/>
                    </pic:cNvPicPr>
                  </pic:nvPicPr>
                  <pic:blipFill>
                    <a:blip r:embed="rId25"/>
                    <a:stretch>
                      <a:fillRect/>
                    </a:stretch>
                  </pic:blipFill>
                  <pic:spPr>
                    <a:xfrm>
                      <a:off x="0" y="0"/>
                      <a:ext cx="3742690" cy="3439160"/>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图4.3-4 数据块示意图</w:t>
      </w:r>
    </w:p>
    <w:p>
      <w:pPr>
        <w:pStyle w:val="28"/>
        <w:adjustRightInd w:val="0"/>
        <w:snapToGrid w:val="0"/>
        <w:spacing w:line="360" w:lineRule="auto"/>
        <w:ind w:firstLine="420"/>
        <w:rPr>
          <w:rFonts w:ascii="宋体" w:hAnsi="宋体" w:eastAsia="宋体"/>
          <w:sz w:val="21"/>
          <w:szCs w:val="18"/>
        </w:rPr>
      </w:pPr>
      <w:r>
        <w:rPr>
          <w:rFonts w:hint="eastAsia" w:ascii="宋体" w:hAnsi="宋体" w:eastAsia="宋体"/>
          <w:sz w:val="21"/>
          <w:szCs w:val="18"/>
        </w:rPr>
        <w:t>·（注：所有场地及道具具有一定的合理公差，如开赛前参赛联盟队长对道具尺寸等方面存在异议可申请更换，当值裁判将根据实际情况决定是否替换。）</w:t>
      </w:r>
      <w:bookmarkStart w:id="29" w:name="_Toc21124"/>
      <w:bookmarkStart w:id="30" w:name="_Toc82349045"/>
    </w:p>
    <w:p>
      <w:pPr>
        <w:pStyle w:val="4"/>
        <w:keepNext w:val="0"/>
        <w:keepLines w:val="0"/>
        <w:tabs>
          <w:tab w:val="left" w:pos="668"/>
        </w:tabs>
        <w:autoSpaceDE w:val="0"/>
        <w:autoSpaceDN w:val="0"/>
        <w:spacing w:before="0" w:line="360" w:lineRule="auto"/>
        <w:jc w:val="left"/>
        <w:rPr>
          <w:rFonts w:ascii="宋体" w:hAnsi="宋体" w:eastAsia="宋体" w:cs="宋体"/>
          <w:b/>
          <w:bCs/>
          <w:color w:val="000000" w:themeColor="text1"/>
          <w:kern w:val="0"/>
          <w:lang w:val="zh-CN" w:bidi="zh-CN"/>
          <w14:textFill>
            <w14:solidFill>
              <w14:schemeClr w14:val="tx1"/>
            </w14:solidFill>
          </w14:textFill>
        </w:rPr>
      </w:pPr>
      <w:bookmarkStart w:id="31" w:name="_Toc965055641_WPSOffice_Level2"/>
      <w:r>
        <w:rPr>
          <w:rFonts w:hint="eastAsia" w:ascii="宋体" w:hAnsi="宋体" w:eastAsia="宋体" w:cs="宋体"/>
          <w:b/>
          <w:bCs/>
          <w:color w:val="000000" w:themeColor="text1"/>
          <w:kern w:val="0"/>
          <w:lang w:val="zh-CN" w:bidi="zh-CN"/>
          <w14:textFill>
            <w14:solidFill>
              <w14:schemeClr w14:val="tx1"/>
            </w14:solidFill>
          </w14:textFill>
        </w:rPr>
        <w:t>4</w:t>
      </w:r>
      <w:r>
        <w:rPr>
          <w:rFonts w:ascii="宋体" w:hAnsi="宋体" w:eastAsia="宋体" w:cs="宋体"/>
          <w:b/>
          <w:bCs/>
          <w:color w:val="000000" w:themeColor="text1"/>
          <w:kern w:val="0"/>
          <w:lang w:val="zh-CN" w:bidi="zh-CN"/>
          <w14:textFill>
            <w14:solidFill>
              <w14:schemeClr w14:val="tx1"/>
            </w14:solidFill>
          </w14:textFill>
        </w:rPr>
        <w:t xml:space="preserve">.4 </w:t>
      </w:r>
      <w:r>
        <w:rPr>
          <w:rFonts w:hint="eastAsia" w:ascii="宋体" w:hAnsi="宋体" w:eastAsia="宋体" w:cs="宋体"/>
          <w:b/>
          <w:bCs/>
          <w:color w:val="000000" w:themeColor="text1"/>
          <w:kern w:val="0"/>
          <w:lang w:val="zh-CN" w:bidi="zh-CN"/>
          <w14:textFill>
            <w14:solidFill>
              <w14:schemeClr w14:val="tx1"/>
            </w14:solidFill>
          </w14:textFill>
        </w:rPr>
        <w:t>任务介绍及得分判定</w:t>
      </w:r>
      <w:bookmarkEnd w:id="29"/>
      <w:bookmarkEnd w:id="30"/>
      <w:bookmarkEnd w:id="31"/>
    </w:p>
    <w:p>
      <w:pPr>
        <w:pStyle w:val="28"/>
        <w:adjustRightInd w:val="0"/>
        <w:snapToGrid w:val="0"/>
        <w:spacing w:line="360" w:lineRule="auto"/>
        <w:ind w:firstLine="420"/>
        <w:rPr>
          <w:rFonts w:ascii="宋体" w:hAnsi="宋体" w:eastAsia="宋体"/>
          <w:sz w:val="21"/>
          <w:szCs w:val="18"/>
        </w:rPr>
      </w:pPr>
      <w:r>
        <w:rPr>
          <w:rFonts w:hint="eastAsia" w:ascii="宋体" w:hAnsi="宋体" w:eastAsia="宋体"/>
          <w:sz w:val="21"/>
          <w:szCs w:val="18"/>
        </w:rPr>
        <w:t>比赛分为自动控制阶段、 手动控制阶段 、强化改装阶段、全力一搏阶段四个阶段。每个阶段可执行的任务列表如下：</w:t>
      </w:r>
    </w:p>
    <w:tbl>
      <w:tblPr>
        <w:tblStyle w:val="19"/>
        <w:tblpPr w:leftFromText="180" w:rightFromText="180" w:vertAnchor="text" w:horzAnchor="page" w:tblpX="1799" w:tblpY="397"/>
        <w:tblOverlap w:val="never"/>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6"/>
        <w:gridCol w:w="4428"/>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widowControl/>
              <w:adjustRightInd w:val="0"/>
              <w:snapToGrid w:val="0"/>
              <w:spacing w:line="240" w:lineRule="atLeast"/>
              <w:jc w:val="center"/>
              <w:rPr>
                <w:rFonts w:cs="思源黑体 CN"/>
                <w:b/>
                <w:bCs/>
                <w:szCs w:val="20"/>
              </w:rPr>
            </w:pPr>
            <w:r>
              <w:rPr>
                <w:rFonts w:hint="eastAsia" w:cs="思源黑体 CN"/>
                <w:b/>
                <w:bCs/>
                <w:kern w:val="0"/>
                <w:szCs w:val="20"/>
                <w:lang w:bidi="ar"/>
              </w:rPr>
              <w:t xml:space="preserve">比赛阶段 </w:t>
            </w:r>
          </w:p>
        </w:tc>
        <w:tc>
          <w:tcPr>
            <w:tcW w:w="4428" w:type="dxa"/>
          </w:tcPr>
          <w:p>
            <w:pPr>
              <w:widowControl/>
              <w:adjustRightInd w:val="0"/>
              <w:snapToGrid w:val="0"/>
              <w:spacing w:line="240" w:lineRule="atLeast"/>
              <w:jc w:val="center"/>
              <w:rPr>
                <w:rFonts w:cs="思源黑体 CN"/>
                <w:b/>
                <w:bCs/>
                <w:szCs w:val="20"/>
              </w:rPr>
            </w:pPr>
            <w:r>
              <w:rPr>
                <w:rFonts w:hint="eastAsia" w:cs="思源黑体 CN"/>
                <w:b/>
                <w:bCs/>
                <w:kern w:val="0"/>
                <w:szCs w:val="20"/>
                <w:lang w:bidi="ar"/>
              </w:rPr>
              <w:t xml:space="preserve">可执行任务 </w:t>
            </w:r>
          </w:p>
        </w:tc>
        <w:tc>
          <w:tcPr>
            <w:tcW w:w="1306" w:type="dxa"/>
          </w:tcPr>
          <w:p>
            <w:pPr>
              <w:widowControl/>
              <w:adjustRightInd w:val="0"/>
              <w:snapToGrid w:val="0"/>
              <w:spacing w:line="240" w:lineRule="atLeast"/>
              <w:jc w:val="center"/>
              <w:rPr>
                <w:rFonts w:cs="思源黑体 CN"/>
                <w:b/>
                <w:bCs/>
                <w:szCs w:val="20"/>
              </w:rPr>
            </w:pPr>
            <w:r>
              <w:rPr>
                <w:rFonts w:hint="eastAsia" w:cs="思源黑体 CN"/>
                <w:b/>
                <w:bCs/>
                <w:kern w:val="0"/>
                <w:szCs w:val="20"/>
                <w:lang w:bidi="ar"/>
              </w:rPr>
              <w:t xml:space="preserve">可活动区域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widowControl/>
              <w:adjustRightInd w:val="0"/>
              <w:snapToGrid w:val="0"/>
              <w:spacing w:line="240" w:lineRule="atLeast"/>
              <w:jc w:val="left"/>
              <w:rPr>
                <w:rFonts w:cs="思源黑体 CN"/>
                <w:b/>
                <w:bCs/>
                <w:szCs w:val="20"/>
              </w:rPr>
            </w:pPr>
            <w:r>
              <w:rPr>
                <w:rFonts w:hint="eastAsia" w:cs="思源黑体 CN"/>
                <w:b/>
                <w:bCs/>
                <w:kern w:val="0"/>
                <w:szCs w:val="20"/>
                <w:lang w:bidi="ar"/>
              </w:rPr>
              <w:t xml:space="preserve">自动控制阶段 （30秒） </w:t>
            </w:r>
          </w:p>
        </w:tc>
        <w:tc>
          <w:tcPr>
            <w:tcW w:w="4428" w:type="dxa"/>
          </w:tcPr>
          <w:p>
            <w:pPr>
              <w:widowControl/>
              <w:adjustRightInd w:val="0"/>
              <w:snapToGrid w:val="0"/>
              <w:spacing w:line="240" w:lineRule="atLeast"/>
              <w:jc w:val="left"/>
              <w:rPr>
                <w:rFonts w:cs="思源黑体 CN"/>
                <w:szCs w:val="20"/>
              </w:rPr>
            </w:pPr>
            <w:r>
              <w:rPr>
                <w:rFonts w:hint="eastAsia" w:cs="思源黑体 CN"/>
                <w:kern w:val="0"/>
                <w:szCs w:val="20"/>
                <w:lang w:bidi="ar"/>
              </w:rPr>
              <w:t xml:space="preserve">启动可再生能源瓶、争夺数据块 、计算数据块 、 存储数据块 </w:t>
            </w:r>
          </w:p>
        </w:tc>
        <w:tc>
          <w:tcPr>
            <w:tcW w:w="1306" w:type="dxa"/>
          </w:tcPr>
          <w:p>
            <w:pPr>
              <w:widowControl/>
              <w:adjustRightInd w:val="0"/>
              <w:snapToGrid w:val="0"/>
              <w:spacing w:line="240" w:lineRule="atLeast"/>
              <w:jc w:val="center"/>
              <w:rPr>
                <w:rFonts w:cs="思源黑体 CN"/>
                <w:szCs w:val="20"/>
              </w:rPr>
            </w:pPr>
            <w:r>
              <w:rPr>
                <w:rFonts w:hint="eastAsia" w:cs="思源黑体 CN"/>
                <w:kern w:val="0"/>
                <w:szCs w:val="20"/>
                <w:lang w:bidi="ar"/>
              </w:rPr>
              <w:t xml:space="preserve">己方场地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widowControl/>
              <w:adjustRightInd w:val="0"/>
              <w:snapToGrid w:val="0"/>
              <w:spacing w:line="240" w:lineRule="atLeast"/>
              <w:jc w:val="left"/>
              <w:rPr>
                <w:rFonts w:cs="思源黑体 CN"/>
                <w:b/>
                <w:bCs/>
                <w:szCs w:val="20"/>
              </w:rPr>
            </w:pPr>
            <w:r>
              <w:rPr>
                <w:rFonts w:hint="eastAsia" w:cs="思源黑体 CN"/>
                <w:b/>
                <w:bCs/>
                <w:kern w:val="0"/>
                <w:szCs w:val="20"/>
                <w:lang w:bidi="ar"/>
              </w:rPr>
              <w:t xml:space="preserve">手动控制阶段 （100秒） </w:t>
            </w:r>
          </w:p>
        </w:tc>
        <w:tc>
          <w:tcPr>
            <w:tcW w:w="4428" w:type="dxa"/>
          </w:tcPr>
          <w:p>
            <w:pPr>
              <w:widowControl/>
              <w:adjustRightInd w:val="0"/>
              <w:snapToGrid w:val="0"/>
              <w:spacing w:line="240" w:lineRule="atLeast"/>
              <w:jc w:val="left"/>
              <w:rPr>
                <w:rFonts w:cs="思源黑体 CN"/>
                <w:szCs w:val="20"/>
              </w:rPr>
            </w:pPr>
            <w:r>
              <w:rPr>
                <w:rFonts w:hint="eastAsia" w:cs="思源黑体 CN"/>
                <w:kern w:val="0"/>
                <w:szCs w:val="20"/>
                <w:lang w:bidi="ar"/>
              </w:rPr>
              <w:t xml:space="preserve">在自动控制阶段可执行任务中新增回收可再生能源瓶任务 </w:t>
            </w:r>
          </w:p>
        </w:tc>
        <w:tc>
          <w:tcPr>
            <w:tcW w:w="1306" w:type="dxa"/>
          </w:tcPr>
          <w:p>
            <w:pPr>
              <w:widowControl/>
              <w:adjustRightInd w:val="0"/>
              <w:snapToGrid w:val="0"/>
              <w:spacing w:line="240" w:lineRule="atLeast"/>
              <w:jc w:val="center"/>
              <w:rPr>
                <w:rFonts w:cs="思源黑体 CN"/>
                <w:szCs w:val="20"/>
              </w:rPr>
            </w:pPr>
            <w:r>
              <w:rPr>
                <w:rFonts w:hint="eastAsia" w:cs="思源黑体 CN"/>
                <w:kern w:val="0"/>
                <w:szCs w:val="20"/>
                <w:lang w:bidi="ar"/>
              </w:rPr>
              <w:t xml:space="preserve">己方场地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widowControl/>
              <w:adjustRightInd w:val="0"/>
              <w:snapToGrid w:val="0"/>
              <w:spacing w:line="240" w:lineRule="atLeast"/>
              <w:jc w:val="left"/>
              <w:rPr>
                <w:rFonts w:cs="思源黑体 CN"/>
                <w:b/>
                <w:bCs/>
                <w:szCs w:val="20"/>
              </w:rPr>
            </w:pPr>
            <w:r>
              <w:rPr>
                <w:rFonts w:hint="eastAsia" w:cs="思源黑体 CN"/>
                <w:b/>
                <w:bCs/>
                <w:kern w:val="0"/>
                <w:szCs w:val="20"/>
                <w:lang w:bidi="ar"/>
              </w:rPr>
              <w:t>强化改装阶段 （</w:t>
            </w:r>
            <w:r>
              <w:rPr>
                <w:rFonts w:cs="思源黑体 CN"/>
                <w:b/>
                <w:bCs/>
                <w:kern w:val="0"/>
                <w:szCs w:val="20"/>
                <w:lang w:bidi="ar"/>
              </w:rPr>
              <w:t>60</w:t>
            </w:r>
            <w:r>
              <w:rPr>
                <w:rFonts w:hint="eastAsia" w:cs="思源黑体 CN"/>
                <w:b/>
                <w:bCs/>
                <w:kern w:val="0"/>
                <w:szCs w:val="20"/>
                <w:lang w:bidi="ar"/>
              </w:rPr>
              <w:t xml:space="preserve">秒） </w:t>
            </w:r>
          </w:p>
        </w:tc>
        <w:tc>
          <w:tcPr>
            <w:tcW w:w="4428" w:type="dxa"/>
          </w:tcPr>
          <w:p>
            <w:pPr>
              <w:widowControl/>
              <w:adjustRightInd w:val="0"/>
              <w:snapToGrid w:val="0"/>
              <w:spacing w:line="240" w:lineRule="atLeast"/>
              <w:jc w:val="left"/>
              <w:rPr>
                <w:rFonts w:cs="思源黑体 CN"/>
                <w:szCs w:val="20"/>
              </w:rPr>
            </w:pPr>
            <w:r>
              <w:rPr>
                <w:rFonts w:hint="eastAsia" w:cs="思源黑体 CN"/>
                <w:kern w:val="0"/>
                <w:szCs w:val="20"/>
                <w:lang w:bidi="ar"/>
              </w:rPr>
              <w:t xml:space="preserve">改装己方机器人 </w:t>
            </w:r>
          </w:p>
        </w:tc>
        <w:tc>
          <w:tcPr>
            <w:tcW w:w="1306" w:type="dxa"/>
          </w:tcPr>
          <w:p>
            <w:pPr>
              <w:widowControl/>
              <w:adjustRightInd w:val="0"/>
              <w:snapToGrid w:val="0"/>
              <w:spacing w:line="240" w:lineRule="atLeast"/>
              <w:jc w:val="center"/>
              <w:rPr>
                <w:rFonts w:cs="思源黑体 CN"/>
                <w:szCs w:val="20"/>
              </w:rPr>
            </w:pPr>
            <w:r>
              <w:rPr>
                <w:rFonts w:hint="eastAsia" w:cs="思源黑体 CN"/>
                <w:kern w:val="0"/>
                <w:szCs w:val="20"/>
                <w:lang w:bidi="ar"/>
              </w:rPr>
              <w:t xml:space="preserve">场外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widowControl/>
              <w:adjustRightInd w:val="0"/>
              <w:snapToGrid w:val="0"/>
              <w:spacing w:line="240" w:lineRule="atLeast"/>
              <w:jc w:val="left"/>
              <w:rPr>
                <w:rFonts w:cs="思源黑体 CN"/>
                <w:b/>
                <w:bCs/>
                <w:szCs w:val="20"/>
              </w:rPr>
            </w:pPr>
            <w:r>
              <w:rPr>
                <w:rFonts w:hint="eastAsia" w:cs="思源黑体 CN"/>
                <w:b/>
                <w:bCs/>
                <w:kern w:val="0"/>
                <w:szCs w:val="20"/>
                <w:lang w:bidi="ar"/>
              </w:rPr>
              <w:t xml:space="preserve">全力一搏阶段 （90秒） </w:t>
            </w:r>
          </w:p>
        </w:tc>
        <w:tc>
          <w:tcPr>
            <w:tcW w:w="4428" w:type="dxa"/>
          </w:tcPr>
          <w:p>
            <w:pPr>
              <w:widowControl/>
              <w:adjustRightInd w:val="0"/>
              <w:snapToGrid w:val="0"/>
              <w:spacing w:line="240" w:lineRule="atLeast"/>
              <w:jc w:val="left"/>
              <w:rPr>
                <w:rFonts w:cs="思源黑体 CN"/>
                <w:szCs w:val="20"/>
              </w:rPr>
            </w:pPr>
            <w:r>
              <w:rPr>
                <w:rFonts w:hint="eastAsia" w:cs="思源黑体 CN"/>
                <w:kern w:val="0"/>
                <w:szCs w:val="20"/>
                <w:lang w:bidi="ar"/>
              </w:rPr>
              <w:t xml:space="preserve">在手动控制阶段可执行任务中新增悬挂队旗任务 </w:t>
            </w:r>
          </w:p>
        </w:tc>
        <w:tc>
          <w:tcPr>
            <w:tcW w:w="1306" w:type="dxa"/>
          </w:tcPr>
          <w:p>
            <w:pPr>
              <w:widowControl/>
              <w:adjustRightInd w:val="0"/>
              <w:snapToGrid w:val="0"/>
              <w:spacing w:line="240" w:lineRule="atLeast"/>
              <w:jc w:val="center"/>
              <w:rPr>
                <w:rFonts w:cs="思源黑体 CN"/>
                <w:szCs w:val="20"/>
              </w:rPr>
            </w:pPr>
            <w:r>
              <w:rPr>
                <w:rFonts w:hint="eastAsia" w:cs="思源黑体 CN"/>
                <w:kern w:val="0"/>
                <w:szCs w:val="20"/>
                <w:lang w:bidi="ar"/>
              </w:rPr>
              <w:t xml:space="preserve">己方场地 </w:t>
            </w:r>
          </w:p>
        </w:tc>
      </w:tr>
    </w:tbl>
    <w:p>
      <w:pPr>
        <w:adjustRightInd w:val="0"/>
        <w:snapToGrid w:val="0"/>
        <w:spacing w:line="240" w:lineRule="atLeast"/>
        <w:rPr>
          <w:rStyle w:val="83"/>
        </w:rPr>
      </w:pP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启动可再生能源瓶 </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可执行阶段：</w:t>
      </w:r>
      <w:r>
        <w:rPr>
          <w:rFonts w:hint="eastAsia" w:ascii="宋体" w:hAnsi="宋体" w:eastAsia="宋体"/>
          <w:sz w:val="21"/>
          <w:szCs w:val="18"/>
        </w:rPr>
        <w:t xml:space="preserve">自动控制阶段、手动控制阶段、全力一搏阶段 </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任务描述：</w:t>
      </w:r>
      <w:r>
        <w:rPr>
          <w:rFonts w:hint="eastAsia" w:ascii="宋体" w:hAnsi="宋体" w:eastAsia="宋体"/>
          <w:sz w:val="21"/>
          <w:szCs w:val="18"/>
        </w:rPr>
        <w:t xml:space="preserve">双方机器人可以收集地面上的黄球并射击对方球瓶。 </w:t>
      </w:r>
    </w:p>
    <w:p>
      <w:pPr>
        <w:pStyle w:val="28"/>
        <w:adjustRightInd w:val="0"/>
        <w:snapToGrid w:val="0"/>
        <w:spacing w:line="360" w:lineRule="auto"/>
        <w:ind w:firstLine="422"/>
        <w:rPr>
          <w:rFonts w:ascii="宋体" w:hAnsi="宋体" w:eastAsia="宋体"/>
          <w:b/>
          <w:bCs/>
          <w:sz w:val="21"/>
          <w:szCs w:val="18"/>
        </w:rPr>
      </w:pPr>
      <w:r>
        <w:rPr>
          <w:rFonts w:hint="eastAsia" w:ascii="宋体" w:hAnsi="宋体" w:eastAsia="宋体"/>
          <w:b/>
          <w:bCs/>
          <w:sz w:val="21"/>
          <w:szCs w:val="18"/>
        </w:rPr>
        <w:t xml:space="preserve">得分判定： </w:t>
      </w:r>
    </w:p>
    <w:p>
      <w:pPr>
        <w:pStyle w:val="28"/>
        <w:adjustRightInd w:val="0"/>
        <w:snapToGrid w:val="0"/>
        <w:spacing w:line="360" w:lineRule="auto"/>
        <w:ind w:left="200" w:leftChars="100" w:firstLine="420"/>
        <w:rPr>
          <w:rFonts w:ascii="宋体" w:hAnsi="宋体" w:eastAsia="宋体"/>
          <w:sz w:val="21"/>
          <w:szCs w:val="18"/>
        </w:rPr>
      </w:pPr>
      <w:r>
        <w:rPr>
          <w:rFonts w:hint="eastAsia" w:ascii="宋体" w:hAnsi="宋体" w:eastAsia="宋体"/>
          <w:sz w:val="21"/>
          <w:szCs w:val="18"/>
        </w:rPr>
        <w:t xml:space="preserve">a. 上层球瓶处于直立状态，且瓶底与可再生能源上层区域完全接触 </w:t>
      </w:r>
    </w:p>
    <w:p>
      <w:pPr>
        <w:pStyle w:val="28"/>
        <w:adjustRightInd w:val="0"/>
        <w:snapToGrid w:val="0"/>
        <w:spacing w:line="360" w:lineRule="auto"/>
        <w:ind w:left="200" w:leftChars="100" w:firstLine="420"/>
        <w:rPr>
          <w:rFonts w:ascii="宋体" w:hAnsi="宋体" w:eastAsia="宋体"/>
          <w:sz w:val="21"/>
          <w:szCs w:val="18"/>
        </w:rPr>
      </w:pPr>
      <w:r>
        <w:rPr>
          <w:rFonts w:hint="eastAsia" w:ascii="宋体" w:hAnsi="宋体" w:eastAsia="宋体"/>
          <w:sz w:val="21"/>
          <w:szCs w:val="18"/>
        </w:rPr>
        <w:t xml:space="preserve">b. 下层球瓶处于直立状态，且瓶底与可再生能源下层区域完全接触 </w:t>
      </w:r>
    </w:p>
    <w:p>
      <w:pPr>
        <w:pStyle w:val="28"/>
        <w:adjustRightInd w:val="0"/>
        <w:snapToGrid w:val="0"/>
        <w:spacing w:line="360" w:lineRule="auto"/>
        <w:ind w:left="200" w:leftChars="100" w:firstLine="420"/>
        <w:rPr>
          <w:rFonts w:ascii="宋体" w:hAnsi="宋体" w:eastAsia="宋体"/>
          <w:sz w:val="21"/>
          <w:szCs w:val="18"/>
        </w:rPr>
      </w:pPr>
      <w:r>
        <w:rPr>
          <w:rFonts w:hint="eastAsia" w:ascii="宋体" w:hAnsi="宋体" w:eastAsia="宋体"/>
          <w:sz w:val="21"/>
          <w:szCs w:val="18"/>
        </w:rPr>
        <w:t xml:space="preserve">c. 球瓶不与机器人直接接触 </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任务得分：</w:t>
      </w:r>
      <w:r>
        <w:rPr>
          <w:rFonts w:hint="eastAsia" w:ascii="宋体" w:hAnsi="宋体" w:eastAsia="宋体"/>
          <w:sz w:val="21"/>
          <w:szCs w:val="18"/>
        </w:rPr>
        <w:t>全部符合以上条件则视为有效状态，每个有效状态球瓶25分。</w:t>
      </w:r>
    </w:p>
    <w:p>
      <w:pPr>
        <w:pStyle w:val="28"/>
        <w:adjustRightInd w:val="0"/>
        <w:snapToGrid w:val="0"/>
        <w:spacing w:line="240" w:lineRule="atLeast"/>
        <w:ind w:firstLine="199" w:firstLineChars="83"/>
        <w:jc w:val="center"/>
      </w:pPr>
      <w:r>
        <w:rPr>
          <w:rFonts w:hint="eastAsia"/>
        </w:rPr>
        <w:drawing>
          <wp:inline distT="0" distB="0" distL="114300" distR="114300">
            <wp:extent cx="5095875" cy="1973580"/>
            <wp:effectExtent l="0" t="0" r="0" b="7620"/>
            <wp:docPr id="47" name="图片 47" descr=" 图 4.5-1 球瓶有效得分与无效得分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 图 4.5-1 球瓶有效得分与无效得分示意图"/>
                    <pic:cNvPicPr>
                      <a:picLocks noChangeAspect="1"/>
                    </pic:cNvPicPr>
                  </pic:nvPicPr>
                  <pic:blipFill>
                    <a:blip r:embed="rId26"/>
                    <a:stretch>
                      <a:fillRect/>
                    </a:stretch>
                  </pic:blipFill>
                  <pic:spPr>
                    <a:xfrm>
                      <a:off x="0" y="0"/>
                      <a:ext cx="5107920" cy="1978250"/>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ascii="微软雅黑" w:hAnsi="微软雅黑" w:eastAsia="微软雅黑" w:cs="微软雅黑"/>
          <w:sz w:val="18"/>
          <w:szCs w:val="15"/>
        </w:rPr>
        <w:t>图 4.</w:t>
      </w:r>
      <w:r>
        <w:rPr>
          <w:rFonts w:hint="eastAsia" w:ascii="微软雅黑" w:hAnsi="微软雅黑" w:eastAsia="微软雅黑" w:cs="微软雅黑"/>
          <w:sz w:val="18"/>
          <w:szCs w:val="15"/>
        </w:rPr>
        <w:t>4</w:t>
      </w:r>
      <w:r>
        <w:rPr>
          <w:rFonts w:ascii="微软雅黑" w:hAnsi="微软雅黑" w:eastAsia="微软雅黑" w:cs="微软雅黑"/>
          <w:sz w:val="18"/>
          <w:szCs w:val="15"/>
        </w:rPr>
        <w:t>-1 球瓶有效得分与无效得分示意图</w:t>
      </w:r>
    </w:p>
    <w:p>
      <w:pPr>
        <w:pStyle w:val="72"/>
        <w:adjustRightInd w:val="0"/>
        <w:snapToGrid w:val="0"/>
        <w:spacing w:after="156" w:afterLines="50" w:line="240" w:lineRule="atLeast"/>
        <w:rPr>
          <w:rFonts w:ascii="宋体" w:hAnsi="宋体" w:eastAsia="宋体"/>
          <w:bCs/>
        </w:rPr>
      </w:pPr>
      <w:r>
        <w:rPr>
          <w:rFonts w:hint="eastAsia" w:ascii="宋体" w:hAnsi="宋体" w:eastAsia="宋体"/>
          <w:bCs/>
        </w:rPr>
        <w:t>回收可再生能源瓶</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可执行阶段：</w:t>
      </w:r>
      <w:r>
        <w:rPr>
          <w:rFonts w:hint="eastAsia" w:ascii="宋体" w:hAnsi="宋体" w:eastAsia="宋体"/>
          <w:sz w:val="21"/>
          <w:szCs w:val="18"/>
        </w:rPr>
        <w:t>手动控制阶段、全力一搏阶段</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任务描述：</w:t>
      </w:r>
      <w:r>
        <w:rPr>
          <w:rFonts w:hint="eastAsia" w:ascii="宋体" w:hAnsi="宋体" w:eastAsia="宋体"/>
          <w:sz w:val="21"/>
          <w:szCs w:val="18"/>
        </w:rPr>
        <w:t>双方机器人可以将球瓶摆放到己方场地的回收区。</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得分判定：</w:t>
      </w:r>
      <w:r>
        <w:rPr>
          <w:rFonts w:hint="eastAsia" w:ascii="宋体" w:hAnsi="宋体" w:eastAsia="宋体"/>
          <w:sz w:val="21"/>
          <w:szCs w:val="18"/>
        </w:rPr>
        <w:t>球瓶完全进入回收区域且球瓶不与机器人直接接触，则视为有效状态。</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任务得分：</w:t>
      </w:r>
      <w:r>
        <w:rPr>
          <w:rFonts w:hint="eastAsia" w:ascii="宋体" w:hAnsi="宋体" w:eastAsia="宋体"/>
          <w:sz w:val="21"/>
          <w:szCs w:val="18"/>
        </w:rPr>
        <w:t>每个有效状态球瓶20分。</w:t>
      </w:r>
    </w:p>
    <w:p>
      <w:pPr>
        <w:pStyle w:val="28"/>
        <w:adjustRightInd w:val="0"/>
        <w:snapToGrid w:val="0"/>
        <w:spacing w:line="240" w:lineRule="atLeast"/>
        <w:ind w:firstLine="480"/>
        <w:jc w:val="center"/>
      </w:pPr>
      <w:r>
        <w:rPr>
          <w:rFonts w:hint="eastAsia"/>
        </w:rPr>
        <w:drawing>
          <wp:inline distT="0" distB="0" distL="114300" distR="114300">
            <wp:extent cx="3667125" cy="2440305"/>
            <wp:effectExtent l="0" t="0" r="0" b="0"/>
            <wp:docPr id="26" name="图片 26" descr="图4.2-8能源回收区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4.2-8能源回收区示意图已标注"/>
                    <pic:cNvPicPr>
                      <a:picLocks noChangeAspect="1"/>
                    </pic:cNvPicPr>
                  </pic:nvPicPr>
                  <pic:blipFill>
                    <a:blip r:embed="rId27"/>
                    <a:stretch>
                      <a:fillRect/>
                    </a:stretch>
                  </pic:blipFill>
                  <pic:spPr>
                    <a:xfrm>
                      <a:off x="0" y="0"/>
                      <a:ext cx="3668982" cy="2441881"/>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 4.4-2 回收可再生能源瓶有效得分与无效得分示意图</w:t>
      </w:r>
    </w:p>
    <w:p>
      <w:pPr>
        <w:pStyle w:val="72"/>
        <w:adjustRightInd w:val="0"/>
        <w:snapToGrid w:val="0"/>
        <w:spacing w:after="156" w:afterLines="50" w:line="240" w:lineRule="atLeast"/>
        <w:rPr>
          <w:rFonts w:ascii="宋体" w:hAnsi="宋体" w:eastAsia="宋体"/>
          <w:bCs/>
        </w:rPr>
      </w:pPr>
      <w:r>
        <w:rPr>
          <w:rFonts w:hint="eastAsia" w:ascii="宋体" w:hAnsi="宋体" w:eastAsia="宋体"/>
          <w:bCs/>
        </w:rPr>
        <w:t>存储数据块</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可执行阶段：</w:t>
      </w:r>
      <w:r>
        <w:rPr>
          <w:rFonts w:hint="eastAsia" w:ascii="宋体" w:hAnsi="宋体" w:eastAsia="宋体"/>
          <w:sz w:val="21"/>
          <w:szCs w:val="18"/>
        </w:rPr>
        <w:t>自动控制阶段、手动控制阶段、全力一搏阶段</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任务描述：</w:t>
      </w:r>
      <w:r>
        <w:rPr>
          <w:rFonts w:hint="eastAsia" w:ascii="宋体" w:hAnsi="宋体" w:eastAsia="宋体"/>
          <w:sz w:val="21"/>
          <w:szCs w:val="18"/>
        </w:rPr>
        <w:t>双方机器人可以将字母方块插入己方场地的存储中心。</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得分判定：</w:t>
      </w:r>
      <w:r>
        <w:rPr>
          <w:rFonts w:hint="eastAsia" w:ascii="宋体" w:hAnsi="宋体" w:eastAsia="宋体"/>
          <w:sz w:val="21"/>
          <w:szCs w:val="18"/>
        </w:rPr>
        <w:t>方块悬挂在数据存储中心扁铝上，处于悬空状态，并与机器人或任何其他场地元素不存在直接接触时 （悬挂区结构件除外），则视为有效状态。</w:t>
      </w:r>
    </w:p>
    <w:p>
      <w:pPr>
        <w:pStyle w:val="28"/>
        <w:adjustRightInd w:val="0"/>
        <w:snapToGrid w:val="0"/>
        <w:spacing w:line="360" w:lineRule="auto"/>
        <w:ind w:firstLine="422"/>
        <w:rPr>
          <w:rFonts w:ascii="宋体" w:hAnsi="宋体" w:eastAsia="宋体"/>
          <w:sz w:val="21"/>
          <w:szCs w:val="18"/>
        </w:rPr>
      </w:pPr>
      <w:r>
        <w:rPr>
          <w:rFonts w:hint="eastAsia" w:ascii="宋体" w:hAnsi="宋体" w:eastAsia="宋体"/>
          <w:b/>
          <w:bCs/>
          <w:sz w:val="21"/>
          <w:szCs w:val="18"/>
        </w:rPr>
        <w:t>任务得分：</w:t>
      </w:r>
      <w:r>
        <w:rPr>
          <w:rFonts w:hint="eastAsia" w:ascii="宋体" w:hAnsi="宋体" w:eastAsia="宋体"/>
          <w:sz w:val="21"/>
          <w:szCs w:val="18"/>
        </w:rPr>
        <w:t>每个有效状态字母方块30分。</w:t>
      </w:r>
    </w:p>
    <w:p>
      <w:pPr>
        <w:pStyle w:val="28"/>
        <w:adjustRightInd w:val="0"/>
        <w:snapToGrid w:val="0"/>
        <w:spacing w:line="240" w:lineRule="atLeast"/>
        <w:ind w:firstLine="480"/>
        <w:jc w:val="center"/>
      </w:pPr>
      <w:r>
        <w:rPr>
          <w:rFonts w:hint="eastAsia"/>
        </w:rPr>
        <w:drawing>
          <wp:inline distT="0" distB="0" distL="114300" distR="114300">
            <wp:extent cx="568325" cy="1786255"/>
            <wp:effectExtent l="0" t="0" r="15875" b="17145"/>
            <wp:docPr id="48" name="图片 48" descr="图 4.4-3 存储数据块有效状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 4.4-3 存储数据块有效状态"/>
                    <pic:cNvPicPr>
                      <a:picLocks noChangeAspect="1"/>
                    </pic:cNvPicPr>
                  </pic:nvPicPr>
                  <pic:blipFill>
                    <a:blip r:embed="rId28"/>
                    <a:stretch>
                      <a:fillRect/>
                    </a:stretch>
                  </pic:blipFill>
                  <pic:spPr>
                    <a:xfrm>
                      <a:off x="0" y="0"/>
                      <a:ext cx="568325" cy="1786255"/>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 4.4-3 存储数据块有效状态</w:t>
      </w:r>
    </w:p>
    <w:p>
      <w:pPr>
        <w:pStyle w:val="72"/>
        <w:adjustRightInd w:val="0"/>
        <w:snapToGrid w:val="0"/>
        <w:spacing w:after="156" w:afterLines="50" w:line="240" w:lineRule="atLeast"/>
        <w:rPr>
          <w:rFonts w:ascii="宋体" w:hAnsi="宋体" w:eastAsia="宋体"/>
          <w:bCs/>
        </w:rPr>
      </w:pPr>
      <w:r>
        <w:rPr>
          <w:rFonts w:hint="eastAsia" w:ascii="宋体" w:hAnsi="宋体" w:eastAsia="宋体"/>
          <w:bCs/>
        </w:rPr>
        <w:t>计算数据块</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可执行阶段：</w:t>
      </w:r>
      <w:r>
        <w:rPr>
          <w:rFonts w:hint="eastAsia" w:ascii="宋体" w:hAnsi="宋体" w:eastAsia="宋体"/>
          <w:sz w:val="21"/>
        </w:rPr>
        <w:t>自动控制阶段、手动控制阶段、全力一搏阶段</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任务描述：</w:t>
      </w:r>
      <w:r>
        <w:rPr>
          <w:rFonts w:hint="eastAsia" w:ascii="宋体" w:hAnsi="宋体" w:eastAsia="宋体"/>
          <w:sz w:val="21"/>
        </w:rPr>
        <w:t>双方机器人可以在己方场地的计算中心放置字母方块。</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得分判定：</w:t>
      </w:r>
      <w:r>
        <w:rPr>
          <w:rFonts w:hint="eastAsia" w:ascii="宋体" w:hAnsi="宋体" w:eastAsia="宋体"/>
          <w:sz w:val="21"/>
        </w:rPr>
        <w:t>字母方块完全（物体垂直投影）进入己方计算中心区域，且与机器人不存在直接接触，则视为有效状态。</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任务得分：</w:t>
      </w:r>
      <w:r>
        <w:rPr>
          <w:rFonts w:hint="eastAsia" w:ascii="宋体" w:hAnsi="宋体" w:eastAsia="宋体"/>
          <w:sz w:val="21"/>
        </w:rPr>
        <w:t>每个有效状态字母方块15分。</w:t>
      </w:r>
    </w:p>
    <w:p>
      <w:pPr>
        <w:pStyle w:val="28"/>
        <w:adjustRightInd w:val="0"/>
        <w:snapToGrid w:val="0"/>
        <w:spacing w:line="240" w:lineRule="atLeast"/>
        <w:ind w:firstLine="480"/>
      </w:pPr>
      <w:r>
        <w:drawing>
          <wp:inline distT="0" distB="0" distL="114300" distR="114300">
            <wp:extent cx="5266055" cy="699770"/>
            <wp:effectExtent l="0" t="0" r="17145" b="11430"/>
            <wp:docPr id="15" name="图片 15" descr="f2717ee8-548a-4afb-bfaf-d681a1c16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2717ee8-548a-4afb-bfaf-d681a1c1644a"/>
                    <pic:cNvPicPr>
                      <a:picLocks noChangeAspect="1"/>
                    </pic:cNvPicPr>
                  </pic:nvPicPr>
                  <pic:blipFill>
                    <a:blip r:embed="rId29"/>
                    <a:stretch>
                      <a:fillRect/>
                    </a:stretch>
                  </pic:blipFill>
                  <pic:spPr>
                    <a:xfrm>
                      <a:off x="0" y="0"/>
                      <a:ext cx="5266055" cy="699770"/>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 4.4-4 计算中心数据块有效得分与无效得分示意图</w:t>
      </w:r>
    </w:p>
    <w:p>
      <w:pPr>
        <w:pStyle w:val="72"/>
        <w:adjustRightInd w:val="0"/>
        <w:snapToGrid w:val="0"/>
        <w:spacing w:after="156" w:afterLines="50" w:line="240" w:lineRule="atLeast"/>
        <w:rPr>
          <w:rFonts w:ascii="宋体" w:hAnsi="宋体" w:eastAsia="宋体"/>
          <w:bCs/>
        </w:rPr>
      </w:pPr>
      <w:r>
        <w:rPr>
          <w:rFonts w:hint="eastAsia" w:ascii="宋体" w:hAnsi="宋体" w:eastAsia="宋体"/>
          <w:bCs/>
        </w:rPr>
        <w:t>争夺数据块</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可执行阶段：</w:t>
      </w:r>
      <w:r>
        <w:rPr>
          <w:rFonts w:hint="eastAsia" w:ascii="宋体" w:hAnsi="宋体" w:eastAsia="宋体"/>
          <w:sz w:val="21"/>
        </w:rPr>
        <w:t>自动控制阶段、手动控制阶段、全力一搏阶段</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任务描述：</w:t>
      </w:r>
      <w:r>
        <w:rPr>
          <w:rFonts w:hint="eastAsia" w:ascii="宋体" w:hAnsi="宋体" w:eastAsia="宋体"/>
          <w:sz w:val="21"/>
        </w:rPr>
        <w:t>双方机器人可以抓取收集中心的方块，并将其分拣至己方场地。</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得分判定：</w:t>
      </w:r>
      <w:r>
        <w:rPr>
          <w:rFonts w:hint="eastAsia" w:ascii="宋体" w:hAnsi="宋体" w:eastAsia="宋体"/>
          <w:sz w:val="21"/>
        </w:rPr>
        <w:t xml:space="preserve">方块未满足存储数据块与计算数据块两种状态判定条件，如图 4.5-5完全进入己方场地区域，且方块与机器人不存在直接接触，则视为有效得分状态。 </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任务得分：</w:t>
      </w:r>
      <w:r>
        <w:rPr>
          <w:rFonts w:hint="eastAsia" w:ascii="宋体" w:hAnsi="宋体" w:eastAsia="宋体"/>
          <w:sz w:val="21"/>
        </w:rPr>
        <w:t>每个有效状态方块5分。</w:t>
      </w:r>
    </w:p>
    <w:p>
      <w:pPr>
        <w:pStyle w:val="28"/>
        <w:adjustRightInd w:val="0"/>
        <w:snapToGrid w:val="0"/>
        <w:spacing w:line="240" w:lineRule="atLeast"/>
        <w:ind w:firstLine="0" w:firstLineChars="0"/>
        <w:jc w:val="center"/>
      </w:pPr>
      <w:r>
        <w:rPr>
          <w:rFonts w:hint="eastAsia"/>
        </w:rPr>
        <w:drawing>
          <wp:inline distT="0" distB="0" distL="114300" distR="114300">
            <wp:extent cx="4667250" cy="3405505"/>
            <wp:effectExtent l="0" t="0" r="0" b="4445"/>
            <wp:docPr id="29" name="图片 29" descr="图 4.4-5 除数据计算中心与数据存储中心的方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 4.4-5 除数据计算中心与数据存储中心的方块"/>
                    <pic:cNvPicPr>
                      <a:picLocks noChangeAspect="1"/>
                    </pic:cNvPicPr>
                  </pic:nvPicPr>
                  <pic:blipFill>
                    <a:blip r:embed="rId30"/>
                    <a:stretch>
                      <a:fillRect/>
                    </a:stretch>
                  </pic:blipFill>
                  <pic:spPr>
                    <a:xfrm>
                      <a:off x="0" y="0"/>
                      <a:ext cx="4671847" cy="3409384"/>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 4.4-5 除数据计算中心与数据存储中心的方块</w:t>
      </w:r>
    </w:p>
    <w:p>
      <w:pPr>
        <w:pStyle w:val="72"/>
        <w:adjustRightInd w:val="0"/>
        <w:snapToGrid w:val="0"/>
        <w:spacing w:after="156" w:afterLines="50" w:line="240" w:lineRule="atLeast"/>
        <w:rPr>
          <w:rFonts w:ascii="宋体" w:hAnsi="宋体" w:eastAsia="宋体"/>
          <w:bCs/>
        </w:rPr>
      </w:pPr>
      <w:r>
        <w:rPr>
          <w:rFonts w:hint="eastAsia" w:ascii="宋体" w:hAnsi="宋体" w:eastAsia="宋体"/>
          <w:bCs/>
        </w:rPr>
        <w:t>悬挂队旗</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可执行阶段：</w:t>
      </w:r>
      <w:r>
        <w:rPr>
          <w:rFonts w:hint="eastAsia" w:ascii="宋体" w:hAnsi="宋体" w:eastAsia="宋体"/>
          <w:sz w:val="21"/>
        </w:rPr>
        <w:t>全力一搏阶段</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任务描述：</w:t>
      </w:r>
      <w:r>
        <w:rPr>
          <w:rFonts w:hint="eastAsia" w:ascii="宋体" w:hAnsi="宋体" w:eastAsia="宋体"/>
          <w:sz w:val="21"/>
        </w:rPr>
        <w:t>机器人可以将己方队旗悬挂至己方场地的旗帜悬挂区域的旗杆上，一支战队在单场比赛中仅可悬挂一面旗帜。</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得分判定：</w:t>
      </w:r>
      <w:r>
        <w:rPr>
          <w:rFonts w:hint="eastAsia" w:ascii="宋体" w:hAnsi="宋体" w:eastAsia="宋体"/>
          <w:sz w:val="21"/>
        </w:rPr>
        <w:t>比赛结束时悬挂于旗杆之上，且与地面、机器人无任何接触，视为有效悬挂。</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任务得分：</w:t>
      </w:r>
      <w:r>
        <w:rPr>
          <w:rFonts w:hint="eastAsia" w:ascii="宋体" w:hAnsi="宋体" w:eastAsia="宋体"/>
          <w:sz w:val="21"/>
        </w:rPr>
        <w:t>有效悬挂一面旗帜50分。</w:t>
      </w:r>
    </w:p>
    <w:p>
      <w:pPr>
        <w:pStyle w:val="28"/>
        <w:adjustRightInd w:val="0"/>
        <w:snapToGrid w:val="0"/>
        <w:spacing w:line="240" w:lineRule="atLeast"/>
        <w:ind w:firstLine="480"/>
        <w:jc w:val="center"/>
      </w:pPr>
      <w:r>
        <w:rPr>
          <w:rFonts w:hint="eastAsia"/>
        </w:rPr>
        <w:drawing>
          <wp:inline distT="0" distB="0" distL="114300" distR="114300">
            <wp:extent cx="3171190" cy="2201545"/>
            <wp:effectExtent l="0" t="0" r="0" b="0"/>
            <wp:docPr id="30" name="图片 30" descr="图 4.5-6 旗帜有效得分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 4.5-6 旗帜有效得分示意图"/>
                    <pic:cNvPicPr>
                      <a:picLocks noChangeAspect="1"/>
                    </pic:cNvPicPr>
                  </pic:nvPicPr>
                  <pic:blipFill>
                    <a:blip r:embed="rId31"/>
                    <a:stretch>
                      <a:fillRect/>
                    </a:stretch>
                  </pic:blipFill>
                  <pic:spPr>
                    <a:xfrm>
                      <a:off x="0" y="0"/>
                      <a:ext cx="3171190" cy="2201545"/>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 4.4-6 旗帜有效得分示意图</w:t>
      </w:r>
    </w:p>
    <w:p>
      <w:pPr>
        <w:pStyle w:val="72"/>
        <w:adjustRightInd w:val="0"/>
        <w:snapToGrid w:val="0"/>
        <w:spacing w:after="156" w:afterLines="50" w:line="240" w:lineRule="atLeast"/>
        <w:rPr>
          <w:rFonts w:ascii="宋体" w:hAnsi="宋体" w:eastAsia="宋体"/>
          <w:bCs/>
        </w:rPr>
      </w:pPr>
      <w:r>
        <w:rPr>
          <w:rFonts w:hint="eastAsia" w:ascii="宋体" w:hAnsi="宋体" w:eastAsia="宋体"/>
          <w:bCs/>
        </w:rPr>
        <w:t>MakeX挑战</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可执行阶段：</w:t>
      </w:r>
      <w:r>
        <w:rPr>
          <w:rFonts w:hint="eastAsia" w:ascii="宋体" w:hAnsi="宋体" w:eastAsia="宋体"/>
          <w:sz w:val="21"/>
        </w:rPr>
        <w:t>自动控制阶段、手动控制阶段、全力一搏阶段</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任务描述：</w:t>
      </w:r>
      <w:r>
        <w:rPr>
          <w:rFonts w:hint="eastAsia" w:ascii="宋体" w:hAnsi="宋体" w:eastAsia="宋体"/>
          <w:sz w:val="21"/>
        </w:rPr>
        <w:t>能够在场地中集齐「M」「A」「K」「E」「X」五个字母。</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得分判定：</w:t>
      </w:r>
      <w:r>
        <w:rPr>
          <w:rFonts w:hint="eastAsia" w:ascii="宋体" w:hAnsi="宋体" w:eastAsia="宋体"/>
          <w:sz w:val="21"/>
        </w:rPr>
        <w:t>在己方半场中集齐「M」「A」「K」「E」「X」五个字母块，字母方块处于己方任何一个任务区域</w:t>
      </w:r>
      <w:bookmarkStart w:id="83" w:name="_GoBack"/>
      <w:bookmarkEnd w:id="83"/>
      <w:r>
        <w:rPr>
          <w:rFonts w:hint="eastAsia" w:ascii="宋体" w:hAnsi="宋体" w:eastAsia="宋体"/>
          <w:sz w:val="21"/>
        </w:rPr>
        <w:t>。即可完成MakeX挑战任务。</w:t>
      </w:r>
    </w:p>
    <w:p>
      <w:pPr>
        <w:pStyle w:val="28"/>
        <w:adjustRightInd w:val="0"/>
        <w:snapToGrid w:val="0"/>
        <w:spacing w:line="360" w:lineRule="auto"/>
        <w:ind w:firstLine="422"/>
        <w:rPr>
          <w:rFonts w:ascii="宋体" w:hAnsi="宋体" w:eastAsia="宋体"/>
          <w:sz w:val="21"/>
        </w:rPr>
      </w:pPr>
      <w:r>
        <w:rPr>
          <w:rFonts w:hint="eastAsia" w:ascii="宋体" w:hAnsi="宋体" w:eastAsia="宋体"/>
          <w:b/>
          <w:bCs/>
          <w:sz w:val="21"/>
        </w:rPr>
        <w:t>任务得分：</w:t>
      </w:r>
      <w:r>
        <w:rPr>
          <w:rFonts w:hint="eastAsia" w:ascii="宋体" w:hAnsi="宋体" w:eastAsia="宋体"/>
          <w:sz w:val="21"/>
        </w:rPr>
        <w:t>完成挑战额外获得150分。</w:t>
      </w:r>
    </w:p>
    <w:p>
      <w:pPr>
        <w:pStyle w:val="28"/>
        <w:adjustRightInd w:val="0"/>
        <w:snapToGrid w:val="0"/>
        <w:spacing w:line="240" w:lineRule="atLeast"/>
        <w:ind w:firstLine="199" w:firstLineChars="83"/>
        <w:jc w:val="center"/>
      </w:pPr>
      <w:r>
        <w:rPr>
          <w:rFonts w:hint="eastAsia"/>
        </w:rPr>
        <w:drawing>
          <wp:inline distT="0" distB="0" distL="114300" distR="114300">
            <wp:extent cx="4800600" cy="3514090"/>
            <wp:effectExtent l="0" t="0" r="0" b="0"/>
            <wp:docPr id="50" name="图片 50" descr="图4.4-7MakeX 挑战任务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4.4-7MakeX 挑战任务示意图"/>
                    <pic:cNvPicPr>
                      <a:picLocks noChangeAspect="1"/>
                    </pic:cNvPicPr>
                  </pic:nvPicPr>
                  <pic:blipFill>
                    <a:blip r:embed="rId32"/>
                    <a:stretch>
                      <a:fillRect/>
                    </a:stretch>
                  </pic:blipFill>
                  <pic:spPr>
                    <a:xfrm>
                      <a:off x="0" y="0"/>
                      <a:ext cx="4812983" cy="3523168"/>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r>
        <w:rPr>
          <w:rFonts w:hint="eastAsia" w:ascii="微软雅黑" w:hAnsi="微软雅黑" w:eastAsia="微软雅黑" w:cs="微软雅黑"/>
          <w:sz w:val="18"/>
          <w:szCs w:val="15"/>
        </w:rPr>
        <w:t>图4.4-7MakeX 挑战任务示意图</w:t>
      </w:r>
    </w:p>
    <w:p>
      <w:pPr>
        <w:pStyle w:val="72"/>
        <w:adjustRightInd w:val="0"/>
        <w:snapToGrid w:val="0"/>
        <w:spacing w:after="156" w:afterLines="50" w:line="240" w:lineRule="atLeast"/>
        <w:rPr>
          <w:rFonts w:ascii="宋体" w:hAnsi="宋体" w:eastAsia="宋体"/>
          <w:b w:val="0"/>
        </w:rPr>
      </w:pPr>
      <w:r>
        <w:rPr>
          <w:rFonts w:hint="eastAsia" w:ascii="宋体" w:hAnsi="宋体" w:eastAsia="宋体"/>
          <w:b w:val="0"/>
        </w:rPr>
        <w:t>边界状态判定</w:t>
      </w:r>
    </w:p>
    <w:p>
      <w:pPr>
        <w:pStyle w:val="36"/>
        <w:numPr>
          <w:ilvl w:val="0"/>
          <w:numId w:val="0"/>
        </w:numPr>
        <w:adjustRightInd w:val="0"/>
        <w:snapToGrid w:val="0"/>
        <w:spacing w:line="360" w:lineRule="auto"/>
        <w:ind w:left="400" w:leftChars="200" w:firstLine="420"/>
        <w:rPr>
          <w:rFonts w:ascii="宋体" w:hAnsi="宋体" w:eastAsia="宋体"/>
          <w:sz w:val="21"/>
        </w:rPr>
      </w:pPr>
      <w:r>
        <w:rPr>
          <w:rFonts w:hint="eastAsia" w:ascii="宋体" w:hAnsi="宋体" w:eastAsia="宋体"/>
          <w:sz w:val="21"/>
        </w:rPr>
        <w:t>在比赛全程中，当机器人或道具与指定区域边界的相对位置状态不清晰时，可参考以下状态判定：</w:t>
      </w:r>
    </w:p>
    <w:p>
      <w:pPr>
        <w:pStyle w:val="37"/>
        <w:adjustRightInd w:val="0"/>
        <w:snapToGrid w:val="0"/>
        <w:spacing w:line="240" w:lineRule="atLeast"/>
        <w:ind w:left="0" w:firstLine="0"/>
        <w:jc w:val="center"/>
      </w:pPr>
      <w:r>
        <w:rPr>
          <w:rFonts w:hint="eastAsia"/>
        </w:rPr>
        <w:drawing>
          <wp:inline distT="0" distB="0" distL="114300" distR="114300">
            <wp:extent cx="5272405" cy="2019300"/>
            <wp:effectExtent l="0" t="0" r="10795" b="12700"/>
            <wp:docPr id="6" name="图片 6" descr="边界状态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边界状态判定"/>
                    <pic:cNvPicPr>
                      <a:picLocks noChangeAspect="1"/>
                    </pic:cNvPicPr>
                  </pic:nvPicPr>
                  <pic:blipFill>
                    <a:blip r:embed="rId33"/>
                    <a:stretch>
                      <a:fillRect/>
                    </a:stretch>
                  </pic:blipFill>
                  <pic:spPr>
                    <a:xfrm>
                      <a:off x="0" y="0"/>
                      <a:ext cx="5272405" cy="2019300"/>
                    </a:xfrm>
                    <a:prstGeom prst="rect">
                      <a:avLst/>
                    </a:prstGeom>
                  </pic:spPr>
                </pic:pic>
              </a:graphicData>
            </a:graphic>
          </wp:inline>
        </w:drawing>
      </w:r>
    </w:p>
    <w:p>
      <w:pPr>
        <w:pStyle w:val="4"/>
        <w:keepNext w:val="0"/>
        <w:keepLines w:val="0"/>
        <w:tabs>
          <w:tab w:val="left" w:pos="668"/>
        </w:tabs>
        <w:autoSpaceDE w:val="0"/>
        <w:autoSpaceDN w:val="0"/>
        <w:spacing w:before="0" w:line="360" w:lineRule="auto"/>
        <w:jc w:val="left"/>
        <w:rPr>
          <w:rFonts w:ascii="宋体" w:hAnsi="宋体" w:eastAsia="宋体" w:cs="宋体"/>
          <w:b/>
          <w:bCs/>
          <w:color w:val="000000" w:themeColor="text1"/>
          <w:kern w:val="0"/>
          <w:lang w:val="zh-CN" w:bidi="zh-CN"/>
          <w14:textFill>
            <w14:solidFill>
              <w14:schemeClr w14:val="tx1"/>
            </w14:solidFill>
          </w14:textFill>
        </w:rPr>
      </w:pPr>
      <w:bookmarkStart w:id="32" w:name="_Toc12162"/>
      <w:bookmarkStart w:id="33" w:name="_Toc1060930647"/>
      <w:bookmarkStart w:id="34" w:name="_Toc1893656143_WPSOffice_Level2"/>
      <w:r>
        <w:rPr>
          <w:rFonts w:hint="eastAsia" w:ascii="宋体" w:hAnsi="宋体" w:eastAsia="宋体" w:cs="宋体"/>
          <w:b/>
          <w:bCs/>
          <w:color w:val="000000" w:themeColor="text1"/>
          <w:kern w:val="0"/>
          <w:lang w:val="zh-CN" w:bidi="zh-CN"/>
          <w14:textFill>
            <w14:solidFill>
              <w14:schemeClr w14:val="tx1"/>
            </w14:solidFill>
          </w14:textFill>
        </w:rPr>
        <w:t>4</w:t>
      </w:r>
      <w:r>
        <w:rPr>
          <w:rFonts w:ascii="宋体" w:hAnsi="宋体" w:eastAsia="宋体" w:cs="宋体"/>
          <w:b/>
          <w:bCs/>
          <w:color w:val="000000" w:themeColor="text1"/>
          <w:kern w:val="0"/>
          <w:lang w:val="zh-CN" w:bidi="zh-CN"/>
          <w14:textFill>
            <w14:solidFill>
              <w14:schemeClr w14:val="tx1"/>
            </w14:solidFill>
          </w14:textFill>
        </w:rPr>
        <w:t xml:space="preserve">.5 </w:t>
      </w:r>
      <w:r>
        <w:rPr>
          <w:rFonts w:hint="eastAsia" w:ascii="宋体" w:hAnsi="宋体" w:eastAsia="宋体" w:cs="宋体"/>
          <w:b/>
          <w:bCs/>
          <w:color w:val="000000" w:themeColor="text1"/>
          <w:kern w:val="0"/>
          <w:lang w:val="zh-CN" w:bidi="zh-CN"/>
          <w14:textFill>
            <w14:solidFill>
              <w14:schemeClr w14:val="tx1"/>
            </w14:solidFill>
          </w14:textFill>
        </w:rPr>
        <w:t>计分说明</w:t>
      </w:r>
      <w:bookmarkEnd w:id="32"/>
      <w:bookmarkEnd w:id="33"/>
      <w:bookmarkEnd w:id="34"/>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比赛最终得分以比赛结束后，得分道具的最终静止状态为准。比赛任务、得分道具及对应的分值如下所示。比赛结束后，裁判以</w:t>
      </w:r>
      <w:r>
        <w:rPr>
          <w:rFonts w:hint="eastAsia" w:ascii="宋体" w:hAnsi="宋体" w:eastAsia="宋体"/>
          <w:color w:val="auto"/>
          <w:sz w:val="21"/>
          <w:szCs w:val="18"/>
        </w:rPr>
        <w:t>得分</w:t>
      </w:r>
      <w:r>
        <w:rPr>
          <w:rFonts w:ascii="宋体" w:hAnsi="宋体" w:eastAsia="宋体"/>
          <w:color w:val="auto"/>
          <w:sz w:val="21"/>
          <w:szCs w:val="18"/>
        </w:rPr>
        <w:t>道具最终状态计算双方各项任务得分之和，分数高的联盟将获得比赛胜利。</w:t>
      </w:r>
    </w:p>
    <w:tbl>
      <w:tblPr>
        <w:tblStyle w:val="18"/>
        <w:tblpPr w:leftFromText="180" w:rightFromText="180" w:vertAnchor="text" w:horzAnchor="page" w:tblpX="1877" w:tblpY="14"/>
        <w:tblOverlap w:val="never"/>
        <w:tblW w:w="8318" w:type="dxa"/>
        <w:tblInd w:w="0" w:type="dxa"/>
        <w:tblLayout w:type="autofit"/>
        <w:tblCellMar>
          <w:top w:w="15" w:type="dxa"/>
          <w:left w:w="15" w:type="dxa"/>
          <w:bottom w:w="15" w:type="dxa"/>
          <w:right w:w="15" w:type="dxa"/>
        </w:tblCellMar>
      </w:tblPr>
      <w:tblGrid>
        <w:gridCol w:w="1647"/>
        <w:gridCol w:w="3802"/>
        <w:gridCol w:w="1431"/>
        <w:gridCol w:w="1438"/>
      </w:tblGrid>
      <w:tr>
        <w:tblPrEx>
          <w:tblCellMar>
            <w:top w:w="15" w:type="dxa"/>
            <w:left w:w="15" w:type="dxa"/>
            <w:bottom w:w="15" w:type="dxa"/>
            <w:right w:w="15" w:type="dxa"/>
          </w:tblCellMar>
        </w:tblPrEx>
        <w:trPr>
          <w:trHeight w:val="560" w:hRule="atLeast"/>
        </w:trPr>
        <w:tc>
          <w:tcPr>
            <w:tcW w:w="1647"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ascii="宋体" w:hAnsi="宋体" w:eastAsia="宋体" w:cs="宋体"/>
                <w:color w:val="000000"/>
                <w:kern w:val="0"/>
                <w:szCs w:val="20"/>
                <w:lang w:bidi="ar"/>
              </w:rPr>
              <w:t>得</w:t>
            </w:r>
            <w:r>
              <w:rPr>
                <w:rFonts w:hint="eastAsia" w:cs="思源黑体 CN"/>
                <w:color w:val="000000"/>
                <w:kern w:val="0"/>
                <w:szCs w:val="20"/>
                <w:lang w:bidi="ar"/>
              </w:rPr>
              <w:t xml:space="preserve">分道具 </w:t>
            </w:r>
          </w:p>
        </w:tc>
        <w:tc>
          <w:tcPr>
            <w:tcW w:w="3802"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 xml:space="preserve">得分道具细项 </w:t>
            </w:r>
          </w:p>
        </w:tc>
        <w:tc>
          <w:tcPr>
            <w:tcW w:w="1431"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 xml:space="preserve">单个道具分值 </w:t>
            </w:r>
          </w:p>
        </w:tc>
        <w:tc>
          <w:tcPr>
            <w:tcW w:w="1438"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 xml:space="preserve">最高分值 </w:t>
            </w:r>
          </w:p>
        </w:tc>
      </w:tr>
      <w:tr>
        <w:tblPrEx>
          <w:tblCellMar>
            <w:top w:w="15" w:type="dxa"/>
            <w:left w:w="15" w:type="dxa"/>
            <w:bottom w:w="15" w:type="dxa"/>
            <w:right w:w="15" w:type="dxa"/>
          </w:tblCellMar>
        </w:tblPrEx>
        <w:trPr>
          <w:trHeight w:val="560" w:hRule="atLeast"/>
        </w:trPr>
        <w:tc>
          <w:tcPr>
            <w:tcW w:w="1647" w:type="dxa"/>
            <w:vMerge w:val="restart"/>
            <w:tcBorders>
              <w:top w:val="single" w:color="DEE0E3" w:sz="12" w:space="0"/>
              <w:left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 xml:space="preserve">可再生能源瓶 </w:t>
            </w:r>
          </w:p>
        </w:tc>
        <w:tc>
          <w:tcPr>
            <w:tcW w:w="3802"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left"/>
              <w:textAlignment w:val="center"/>
              <w:rPr>
                <w:rFonts w:cs="思源黑体 CN"/>
                <w:color w:val="000000"/>
                <w:szCs w:val="20"/>
              </w:rPr>
            </w:pPr>
            <w:r>
              <w:rPr>
                <w:rFonts w:hint="eastAsia" w:cs="思源黑体 CN"/>
                <w:color w:val="000000"/>
                <w:kern w:val="0"/>
                <w:szCs w:val="20"/>
                <w:lang w:bidi="ar"/>
              </w:rPr>
              <w:t>可再生能源区内有效球瓶</w:t>
            </w:r>
          </w:p>
        </w:tc>
        <w:tc>
          <w:tcPr>
            <w:tcW w:w="1431"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b/>
                <w:color w:val="000000"/>
                <w:szCs w:val="20"/>
              </w:rPr>
            </w:pPr>
            <w:r>
              <w:rPr>
                <w:rFonts w:hint="eastAsia" w:cs="思源黑体 CN"/>
                <w:b/>
                <w:color w:val="FF0000"/>
                <w:kern w:val="0"/>
                <w:szCs w:val="20"/>
                <w:lang w:bidi="ar"/>
              </w:rPr>
              <w:t>25</w:t>
            </w:r>
          </w:p>
        </w:tc>
        <w:tc>
          <w:tcPr>
            <w:tcW w:w="1438" w:type="dxa"/>
            <w:vMerge w:val="restart"/>
            <w:tcBorders>
              <w:top w:val="single" w:color="DEE0E3" w:sz="12" w:space="0"/>
              <w:left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300</w:t>
            </w:r>
          </w:p>
        </w:tc>
      </w:tr>
      <w:tr>
        <w:tblPrEx>
          <w:tblCellMar>
            <w:top w:w="15" w:type="dxa"/>
            <w:left w:w="15" w:type="dxa"/>
            <w:bottom w:w="15" w:type="dxa"/>
            <w:right w:w="15" w:type="dxa"/>
          </w:tblCellMar>
        </w:tblPrEx>
        <w:trPr>
          <w:trHeight w:val="560" w:hRule="atLeast"/>
        </w:trPr>
        <w:tc>
          <w:tcPr>
            <w:tcW w:w="1647" w:type="dxa"/>
            <w:vMerge w:val="continue"/>
            <w:tcBorders>
              <w:left w:val="single" w:color="DEE0E3" w:sz="12" w:space="0"/>
              <w:bottom w:val="single" w:color="DEE0E3" w:sz="12" w:space="0"/>
              <w:right w:val="single" w:color="DEE0E3" w:sz="12" w:space="0"/>
            </w:tcBorders>
            <w:shd w:val="clear" w:color="auto" w:fill="auto"/>
            <w:vAlign w:val="center"/>
          </w:tcPr>
          <w:p>
            <w:pPr>
              <w:adjustRightInd w:val="0"/>
              <w:snapToGrid w:val="0"/>
              <w:spacing w:line="240" w:lineRule="atLeast"/>
              <w:jc w:val="center"/>
              <w:rPr>
                <w:rFonts w:cs="思源黑体 CN"/>
                <w:color w:val="000000"/>
                <w:szCs w:val="20"/>
              </w:rPr>
            </w:pPr>
          </w:p>
        </w:tc>
        <w:tc>
          <w:tcPr>
            <w:tcW w:w="3802"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left"/>
              <w:textAlignment w:val="center"/>
              <w:rPr>
                <w:rFonts w:cs="思源黑体 CN"/>
                <w:color w:val="000000"/>
                <w:szCs w:val="20"/>
              </w:rPr>
            </w:pPr>
            <w:r>
              <w:rPr>
                <w:rFonts w:hint="eastAsia" w:cs="思源黑体 CN"/>
                <w:color w:val="000000"/>
                <w:kern w:val="0"/>
                <w:szCs w:val="20"/>
                <w:lang w:bidi="ar"/>
              </w:rPr>
              <w:t>能源回收区内有效球瓶</w:t>
            </w:r>
          </w:p>
        </w:tc>
        <w:tc>
          <w:tcPr>
            <w:tcW w:w="1431"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20</w:t>
            </w:r>
          </w:p>
        </w:tc>
        <w:tc>
          <w:tcPr>
            <w:tcW w:w="1438" w:type="dxa"/>
            <w:vMerge w:val="continue"/>
            <w:tcBorders>
              <w:left w:val="single" w:color="DEE0E3" w:sz="12" w:space="0"/>
              <w:bottom w:val="single" w:color="DEE0E3" w:sz="12" w:space="0"/>
              <w:right w:val="single" w:color="DEE0E3" w:sz="12" w:space="0"/>
            </w:tcBorders>
            <w:shd w:val="clear" w:color="auto" w:fill="auto"/>
            <w:vAlign w:val="center"/>
          </w:tcPr>
          <w:p>
            <w:pPr>
              <w:adjustRightInd w:val="0"/>
              <w:snapToGrid w:val="0"/>
              <w:spacing w:line="240" w:lineRule="atLeast"/>
              <w:jc w:val="center"/>
              <w:rPr>
                <w:rFonts w:cs="思源黑体 CN"/>
                <w:color w:val="000000"/>
                <w:szCs w:val="20"/>
              </w:rPr>
            </w:pPr>
          </w:p>
        </w:tc>
      </w:tr>
      <w:tr>
        <w:tblPrEx>
          <w:tblCellMar>
            <w:top w:w="15" w:type="dxa"/>
            <w:left w:w="15" w:type="dxa"/>
            <w:bottom w:w="15" w:type="dxa"/>
            <w:right w:w="15" w:type="dxa"/>
          </w:tblCellMar>
        </w:tblPrEx>
        <w:trPr>
          <w:trHeight w:val="560" w:hRule="atLeast"/>
        </w:trPr>
        <w:tc>
          <w:tcPr>
            <w:tcW w:w="1647" w:type="dxa"/>
            <w:vMerge w:val="restart"/>
            <w:tcBorders>
              <w:top w:val="single" w:color="DEE0E3" w:sz="12" w:space="0"/>
              <w:left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 xml:space="preserve">数据块 </w:t>
            </w:r>
          </w:p>
        </w:tc>
        <w:tc>
          <w:tcPr>
            <w:tcW w:w="3802"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left"/>
              <w:textAlignment w:val="center"/>
              <w:rPr>
                <w:rFonts w:cs="思源黑体 CN"/>
                <w:color w:val="000000"/>
                <w:szCs w:val="20"/>
              </w:rPr>
            </w:pPr>
            <w:r>
              <w:rPr>
                <w:rFonts w:hint="eastAsia" w:cs="思源黑体 CN"/>
                <w:color w:val="000000"/>
                <w:kern w:val="0"/>
                <w:szCs w:val="20"/>
                <w:lang w:bidi="ar"/>
              </w:rPr>
              <w:t>数据存储中心有效字母方块</w:t>
            </w:r>
          </w:p>
        </w:tc>
        <w:tc>
          <w:tcPr>
            <w:tcW w:w="1431"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30</w:t>
            </w:r>
          </w:p>
        </w:tc>
        <w:tc>
          <w:tcPr>
            <w:tcW w:w="1438" w:type="dxa"/>
            <w:vMerge w:val="restart"/>
            <w:tcBorders>
              <w:top w:val="single" w:color="DEE0E3" w:sz="12" w:space="0"/>
              <w:left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360</w:t>
            </w:r>
          </w:p>
        </w:tc>
      </w:tr>
      <w:tr>
        <w:tblPrEx>
          <w:tblCellMar>
            <w:top w:w="15" w:type="dxa"/>
            <w:left w:w="15" w:type="dxa"/>
            <w:bottom w:w="15" w:type="dxa"/>
            <w:right w:w="15" w:type="dxa"/>
          </w:tblCellMar>
        </w:tblPrEx>
        <w:trPr>
          <w:trHeight w:val="560" w:hRule="atLeast"/>
        </w:trPr>
        <w:tc>
          <w:tcPr>
            <w:tcW w:w="1647" w:type="dxa"/>
            <w:vMerge w:val="continue"/>
            <w:tcBorders>
              <w:left w:val="single" w:color="DEE0E3" w:sz="12" w:space="0"/>
              <w:right w:val="single" w:color="DEE0E3" w:sz="12" w:space="0"/>
            </w:tcBorders>
            <w:shd w:val="clear" w:color="auto" w:fill="auto"/>
            <w:vAlign w:val="center"/>
          </w:tcPr>
          <w:p>
            <w:pPr>
              <w:adjustRightInd w:val="0"/>
              <w:snapToGrid w:val="0"/>
              <w:spacing w:line="240" w:lineRule="atLeast"/>
              <w:jc w:val="center"/>
              <w:rPr>
                <w:rFonts w:cs="思源黑体 CN"/>
                <w:color w:val="000000"/>
                <w:szCs w:val="20"/>
              </w:rPr>
            </w:pPr>
          </w:p>
        </w:tc>
        <w:tc>
          <w:tcPr>
            <w:tcW w:w="3802"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left"/>
              <w:textAlignment w:val="center"/>
              <w:rPr>
                <w:rFonts w:cs="思源黑体 CN"/>
                <w:color w:val="000000"/>
                <w:szCs w:val="20"/>
              </w:rPr>
            </w:pPr>
            <w:r>
              <w:rPr>
                <w:rFonts w:hint="eastAsia" w:cs="思源黑体 CN"/>
                <w:color w:val="000000"/>
                <w:kern w:val="0"/>
                <w:szCs w:val="20"/>
                <w:lang w:bidi="ar"/>
              </w:rPr>
              <w:t>数据计算中心有效字母方块</w:t>
            </w:r>
          </w:p>
        </w:tc>
        <w:tc>
          <w:tcPr>
            <w:tcW w:w="1431"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15</w:t>
            </w:r>
          </w:p>
        </w:tc>
        <w:tc>
          <w:tcPr>
            <w:tcW w:w="1438" w:type="dxa"/>
            <w:vMerge w:val="continue"/>
            <w:tcBorders>
              <w:left w:val="single" w:color="DEE0E3" w:sz="12" w:space="0"/>
              <w:right w:val="single" w:color="DEE0E3" w:sz="12" w:space="0"/>
            </w:tcBorders>
            <w:shd w:val="clear" w:color="auto" w:fill="auto"/>
            <w:vAlign w:val="center"/>
          </w:tcPr>
          <w:p>
            <w:pPr>
              <w:adjustRightInd w:val="0"/>
              <w:snapToGrid w:val="0"/>
              <w:spacing w:line="240" w:lineRule="atLeast"/>
              <w:jc w:val="center"/>
              <w:rPr>
                <w:rFonts w:cs="思源黑体 CN"/>
                <w:color w:val="000000"/>
                <w:szCs w:val="20"/>
              </w:rPr>
            </w:pPr>
          </w:p>
        </w:tc>
      </w:tr>
      <w:tr>
        <w:tblPrEx>
          <w:tblCellMar>
            <w:top w:w="15" w:type="dxa"/>
            <w:left w:w="15" w:type="dxa"/>
            <w:bottom w:w="15" w:type="dxa"/>
            <w:right w:w="15" w:type="dxa"/>
          </w:tblCellMar>
        </w:tblPrEx>
        <w:trPr>
          <w:trHeight w:val="818" w:hRule="atLeast"/>
        </w:trPr>
        <w:tc>
          <w:tcPr>
            <w:tcW w:w="1647" w:type="dxa"/>
            <w:vMerge w:val="continue"/>
            <w:tcBorders>
              <w:left w:val="single" w:color="DEE0E3" w:sz="12" w:space="0"/>
              <w:right w:val="single" w:color="DEE0E3" w:sz="12" w:space="0"/>
            </w:tcBorders>
            <w:shd w:val="clear" w:color="auto" w:fill="auto"/>
            <w:vAlign w:val="center"/>
          </w:tcPr>
          <w:p>
            <w:pPr>
              <w:adjustRightInd w:val="0"/>
              <w:snapToGrid w:val="0"/>
              <w:spacing w:line="240" w:lineRule="atLeast"/>
              <w:jc w:val="center"/>
              <w:rPr>
                <w:rFonts w:cs="思源黑体 CN"/>
                <w:color w:val="000000"/>
                <w:szCs w:val="20"/>
              </w:rPr>
            </w:pPr>
          </w:p>
        </w:tc>
        <w:tc>
          <w:tcPr>
            <w:tcW w:w="3802"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left"/>
              <w:textAlignment w:val="center"/>
              <w:rPr>
                <w:rFonts w:cs="思源黑体 CN"/>
                <w:color w:val="000000"/>
                <w:szCs w:val="20"/>
              </w:rPr>
            </w:pPr>
            <w:r>
              <w:rPr>
                <w:rFonts w:hint="eastAsia" w:cs="思源黑体 CN"/>
                <w:color w:val="000000"/>
                <w:kern w:val="0"/>
                <w:szCs w:val="20"/>
                <w:lang w:bidi="ar"/>
              </w:rPr>
              <w:t>除数据存储中心与数据计算中心以外且在己方半场有效方块</w:t>
            </w:r>
          </w:p>
        </w:tc>
        <w:tc>
          <w:tcPr>
            <w:tcW w:w="1431"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5</w:t>
            </w:r>
          </w:p>
        </w:tc>
        <w:tc>
          <w:tcPr>
            <w:tcW w:w="1438" w:type="dxa"/>
            <w:vMerge w:val="continue"/>
            <w:tcBorders>
              <w:left w:val="single" w:color="DEE0E3" w:sz="12" w:space="0"/>
              <w:right w:val="single" w:color="DEE0E3" w:sz="12" w:space="0"/>
            </w:tcBorders>
            <w:shd w:val="clear" w:color="auto" w:fill="auto"/>
            <w:vAlign w:val="center"/>
          </w:tcPr>
          <w:p>
            <w:pPr>
              <w:adjustRightInd w:val="0"/>
              <w:snapToGrid w:val="0"/>
              <w:spacing w:line="240" w:lineRule="atLeast"/>
              <w:jc w:val="center"/>
              <w:rPr>
                <w:rFonts w:cs="思源黑体 CN"/>
                <w:color w:val="000000"/>
                <w:szCs w:val="20"/>
              </w:rPr>
            </w:pPr>
          </w:p>
        </w:tc>
      </w:tr>
      <w:tr>
        <w:tblPrEx>
          <w:tblCellMar>
            <w:top w:w="15" w:type="dxa"/>
            <w:left w:w="15" w:type="dxa"/>
            <w:bottom w:w="15" w:type="dxa"/>
            <w:right w:w="15" w:type="dxa"/>
          </w:tblCellMar>
        </w:tblPrEx>
        <w:trPr>
          <w:trHeight w:val="818" w:hRule="atLeast"/>
        </w:trPr>
        <w:tc>
          <w:tcPr>
            <w:tcW w:w="1647" w:type="dxa"/>
            <w:vMerge w:val="continue"/>
            <w:tcBorders>
              <w:left w:val="single" w:color="DEE0E3" w:sz="12" w:space="0"/>
              <w:bottom w:val="single" w:color="DEE0E3" w:sz="12" w:space="0"/>
              <w:right w:val="single" w:color="DEE0E3" w:sz="12" w:space="0"/>
            </w:tcBorders>
            <w:shd w:val="clear" w:color="auto" w:fill="auto"/>
            <w:vAlign w:val="center"/>
          </w:tcPr>
          <w:p>
            <w:pPr>
              <w:adjustRightInd w:val="0"/>
              <w:snapToGrid w:val="0"/>
              <w:spacing w:line="240" w:lineRule="atLeast"/>
              <w:jc w:val="center"/>
              <w:rPr>
                <w:rFonts w:cs="思源黑体 CN"/>
                <w:color w:val="000000"/>
                <w:szCs w:val="20"/>
              </w:rPr>
            </w:pPr>
          </w:p>
        </w:tc>
        <w:tc>
          <w:tcPr>
            <w:tcW w:w="3802"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left"/>
              <w:textAlignment w:val="center"/>
              <w:rPr>
                <w:rFonts w:cs="思源黑体 CN"/>
                <w:color w:val="000000"/>
                <w:szCs w:val="20"/>
              </w:rPr>
            </w:pPr>
            <w:r>
              <w:rPr>
                <w:rFonts w:hint="eastAsia" w:cs="思源黑体 CN"/>
                <w:color w:val="000000"/>
                <w:kern w:val="0"/>
                <w:szCs w:val="20"/>
                <w:lang w:bidi="ar"/>
              </w:rPr>
              <w:t>在己方场地区域集齐「M」「A」「K」「E」「X」五个字母方块完成MakeX挑战</w:t>
            </w:r>
          </w:p>
        </w:tc>
        <w:tc>
          <w:tcPr>
            <w:tcW w:w="1431"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额外150分</w:t>
            </w:r>
          </w:p>
        </w:tc>
        <w:tc>
          <w:tcPr>
            <w:tcW w:w="1438" w:type="dxa"/>
            <w:vMerge w:val="continue"/>
            <w:tcBorders>
              <w:left w:val="single" w:color="DEE0E3" w:sz="12" w:space="0"/>
              <w:bottom w:val="single" w:color="DEE0E3" w:sz="12" w:space="0"/>
              <w:right w:val="single" w:color="DEE0E3" w:sz="12" w:space="0"/>
            </w:tcBorders>
            <w:shd w:val="clear" w:color="auto" w:fill="auto"/>
            <w:vAlign w:val="center"/>
          </w:tcPr>
          <w:p>
            <w:pPr>
              <w:adjustRightInd w:val="0"/>
              <w:snapToGrid w:val="0"/>
              <w:spacing w:line="240" w:lineRule="atLeast"/>
              <w:jc w:val="center"/>
              <w:rPr>
                <w:rFonts w:cs="思源黑体 CN"/>
                <w:color w:val="000000"/>
                <w:szCs w:val="20"/>
              </w:rPr>
            </w:pPr>
          </w:p>
        </w:tc>
      </w:tr>
      <w:tr>
        <w:tblPrEx>
          <w:tblCellMar>
            <w:top w:w="15" w:type="dxa"/>
            <w:left w:w="15" w:type="dxa"/>
            <w:bottom w:w="15" w:type="dxa"/>
            <w:right w:w="15" w:type="dxa"/>
          </w:tblCellMar>
        </w:tblPrEx>
        <w:trPr>
          <w:trHeight w:val="582" w:hRule="atLeast"/>
        </w:trPr>
        <w:tc>
          <w:tcPr>
            <w:tcW w:w="1647"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 xml:space="preserve">队旗 </w:t>
            </w:r>
          </w:p>
        </w:tc>
        <w:tc>
          <w:tcPr>
            <w:tcW w:w="3802"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left"/>
              <w:textAlignment w:val="center"/>
              <w:rPr>
                <w:rFonts w:cs="思源黑体 CN"/>
                <w:color w:val="000000"/>
                <w:szCs w:val="20"/>
              </w:rPr>
            </w:pPr>
            <w:r>
              <w:rPr>
                <w:rFonts w:hint="eastAsia" w:cs="思源黑体 CN"/>
                <w:color w:val="000000"/>
                <w:kern w:val="0"/>
                <w:szCs w:val="20"/>
                <w:lang w:bidi="ar"/>
              </w:rPr>
              <w:t>在旗帜悬挂区有效悬挂的旗帜</w:t>
            </w:r>
          </w:p>
        </w:tc>
        <w:tc>
          <w:tcPr>
            <w:tcW w:w="1431"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50</w:t>
            </w:r>
          </w:p>
        </w:tc>
        <w:tc>
          <w:tcPr>
            <w:tcW w:w="1438" w:type="dxa"/>
            <w:tcBorders>
              <w:top w:val="single" w:color="DEE0E3" w:sz="12" w:space="0"/>
              <w:left w:val="single" w:color="DEE0E3" w:sz="12" w:space="0"/>
              <w:bottom w:val="single" w:color="DEE0E3" w:sz="12" w:space="0"/>
              <w:right w:val="single" w:color="DEE0E3" w:sz="12" w:space="0"/>
            </w:tcBorders>
            <w:shd w:val="clear" w:color="auto" w:fill="auto"/>
            <w:vAlign w:val="center"/>
          </w:tcPr>
          <w:p>
            <w:pPr>
              <w:widowControl/>
              <w:adjustRightInd w:val="0"/>
              <w:snapToGrid w:val="0"/>
              <w:spacing w:line="240" w:lineRule="atLeast"/>
              <w:jc w:val="center"/>
              <w:textAlignment w:val="center"/>
              <w:rPr>
                <w:rFonts w:cs="思源黑体 CN"/>
                <w:color w:val="000000"/>
                <w:szCs w:val="20"/>
              </w:rPr>
            </w:pPr>
            <w:r>
              <w:rPr>
                <w:rFonts w:hint="eastAsia" w:cs="思源黑体 CN"/>
                <w:color w:val="000000"/>
                <w:kern w:val="0"/>
                <w:szCs w:val="20"/>
                <w:lang w:bidi="ar"/>
              </w:rPr>
              <w:t>100</w:t>
            </w:r>
          </w:p>
        </w:tc>
      </w:tr>
    </w:tbl>
    <w:p>
      <w:pPr>
        <w:pStyle w:val="4"/>
        <w:keepNext w:val="0"/>
        <w:keepLines w:val="0"/>
        <w:numPr>
          <w:ilvl w:val="1"/>
          <w:numId w:val="11"/>
        </w:numPr>
        <w:tabs>
          <w:tab w:val="left" w:pos="668"/>
        </w:tabs>
        <w:autoSpaceDE w:val="0"/>
        <w:autoSpaceDN w:val="0"/>
        <w:spacing w:before="0" w:line="360" w:lineRule="auto"/>
        <w:jc w:val="left"/>
        <w:rPr>
          <w:rFonts w:ascii="宋体" w:hAnsi="宋体" w:eastAsia="宋体" w:cs="宋体"/>
          <w:b/>
          <w:bCs/>
          <w:color w:val="000000" w:themeColor="text1"/>
          <w:kern w:val="0"/>
          <w:lang w:val="zh-CN" w:bidi="zh-CN"/>
          <w14:textFill>
            <w14:solidFill>
              <w14:schemeClr w14:val="tx1"/>
            </w14:solidFill>
          </w14:textFill>
        </w:rPr>
      </w:pPr>
      <w:bookmarkStart w:id="35" w:name="_Toc971146861_WPSOffice_Level2"/>
      <w:r>
        <w:rPr>
          <w:rFonts w:hint="eastAsia" w:ascii="宋体" w:hAnsi="宋体" w:eastAsia="宋体" w:cs="宋体"/>
          <w:b/>
          <w:bCs/>
          <w:color w:val="000000" w:themeColor="text1"/>
          <w:kern w:val="0"/>
          <w:lang w:val="zh-CN" w:bidi="zh-CN"/>
          <w14:textFill>
            <w14:solidFill>
              <w14:schemeClr w14:val="tx1"/>
            </w14:solidFill>
          </w14:textFill>
        </w:rPr>
        <w:t>单场比赛流程</w:t>
      </w:r>
      <w:bookmarkEnd w:id="35"/>
    </w:p>
    <w:p>
      <w:pPr>
        <w:pStyle w:val="28"/>
        <w:adjustRightInd w:val="0"/>
        <w:snapToGrid w:val="0"/>
        <w:spacing w:line="240" w:lineRule="atLeast"/>
        <w:ind w:firstLine="0" w:firstLineChars="0"/>
        <w:jc w:val="center"/>
      </w:pPr>
      <w:r>
        <w:rPr>
          <w:rFonts w:hint="eastAsia"/>
        </w:rPr>
        <w:drawing>
          <wp:inline distT="0" distB="0" distL="114300" distR="114300">
            <wp:extent cx="5257165" cy="502920"/>
            <wp:effectExtent l="0" t="0" r="635" b="5080"/>
            <wp:docPr id="7" name="图片 7" descr="UML 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ML 图 (1)"/>
                    <pic:cNvPicPr>
                      <a:picLocks noChangeAspect="1"/>
                    </pic:cNvPicPr>
                  </pic:nvPicPr>
                  <pic:blipFill>
                    <a:blip r:embed="rId34"/>
                    <a:stretch>
                      <a:fillRect/>
                    </a:stretch>
                  </pic:blipFill>
                  <pic:spPr>
                    <a:xfrm>
                      <a:off x="0" y="0"/>
                      <a:ext cx="5257165" cy="502920"/>
                    </a:xfrm>
                    <a:prstGeom prst="rect">
                      <a:avLst/>
                    </a:prstGeom>
                  </pic:spPr>
                </pic:pic>
              </a:graphicData>
            </a:graphic>
          </wp:inline>
        </w:drawing>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赛前准备 </w:t>
      </w:r>
    </w:p>
    <w:p>
      <w:pPr>
        <w:pStyle w:val="28"/>
        <w:adjustRightInd w:val="0"/>
        <w:snapToGrid w:val="0"/>
        <w:spacing w:line="360" w:lineRule="auto"/>
        <w:ind w:firstLine="420"/>
        <w:rPr>
          <w:rFonts w:ascii="宋体" w:hAnsi="宋体" w:eastAsia="宋体"/>
          <w:sz w:val="21"/>
        </w:rPr>
      </w:pPr>
      <w:r>
        <w:rPr>
          <w:rFonts w:ascii="宋体" w:hAnsi="宋体" w:eastAsia="宋体"/>
          <w:sz w:val="21"/>
        </w:rPr>
        <w:t>单场比赛开始前，参赛选手应按照检录要求前往检录处检查机器人是否符合规定要求，检测电源管理模块是否正确按照并且能正常工作。待检测合格后，听从工作人员安排在候</w:t>
      </w:r>
      <w:r>
        <w:rPr>
          <w:rFonts w:hint="eastAsia" w:ascii="宋体" w:hAnsi="宋体" w:eastAsia="宋体"/>
          <w:sz w:val="21"/>
        </w:rPr>
        <w:t>赛</w:t>
      </w:r>
      <w:r>
        <w:rPr>
          <w:rFonts w:ascii="宋体" w:hAnsi="宋体" w:eastAsia="宋体"/>
          <w:sz w:val="21"/>
        </w:rPr>
        <w:t xml:space="preserve">区等待进场比赛。 </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开始比赛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裁判发出比赛开始指令 ，选手不得再触碰机器人。 </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自动控制阶段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自动控制阶段时长30秒。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为保证比赛的公平性，在比赛开始前的5秒倒计时阶段，位于启动区内的机器人会配合比赛系统统一断电，倒计时结束后，系统会统一给机器人通电，机器人运行预置自动程序。 </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手动控制阶段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手动控制阶段时长100秒。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自动控制阶段结束后，比赛进入手动控制阶段的准备时间。在当值裁判宣布手动控制阶段开始且比赛系统 5 秒倒计时后，比赛系统对机器人进行统一通电。时长100秒的手动控制阶段正式开始，此阶段操作手可通过手柄对机器人进行手动操作。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手动控制阶段即将结束时，比赛系统会倒计时 5 秒。手动控制阶段结束，比赛系统将自动切断机器人电源并直接进入强化改装阶段。 </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强化改装阶段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强化改装阶段时长60秒。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当手动控制阶段结束后，强化改装阶段直接开始。选手可将回到启动区（部分或完全进入）的机器人移出场地进行强化改装，改装后的机器人长宽须符合尺寸规范，但高度不限（具体要求查看6.3改装规则）。 </w:t>
      </w:r>
    </w:p>
    <w:p>
      <w:pPr>
        <w:pStyle w:val="28"/>
        <w:adjustRightInd w:val="0"/>
        <w:snapToGrid w:val="0"/>
        <w:spacing w:line="360" w:lineRule="auto"/>
        <w:ind w:firstLine="420"/>
        <w:rPr>
          <w:rFonts w:ascii="宋体" w:hAnsi="宋体" w:eastAsia="宋体"/>
          <w:sz w:val="21"/>
        </w:rPr>
      </w:pPr>
      <w:r>
        <w:rPr>
          <w:rFonts w:ascii="宋体" w:hAnsi="宋体" w:eastAsia="宋体"/>
          <w:sz w:val="21"/>
        </w:rPr>
        <w:t>强化改装阶段还剩 30 秒时，比赛系统会进行提示。当强化改装即将结束时， 会有 10 秒倒计时，倒计时结束前，选手需将机器人放回启动区。若超时</w:t>
      </w:r>
      <w:r>
        <w:rPr>
          <w:rFonts w:hint="eastAsia" w:ascii="宋体" w:hAnsi="宋体" w:eastAsia="宋体"/>
          <w:sz w:val="21"/>
        </w:rPr>
        <w:t>参赛选手</w:t>
      </w:r>
      <w:r>
        <w:rPr>
          <w:rFonts w:ascii="宋体" w:hAnsi="宋体" w:eastAsia="宋体"/>
          <w:sz w:val="21"/>
        </w:rPr>
        <w:t>未将机器人放回启动区（部分或完全进入），</w:t>
      </w:r>
      <w:r>
        <w:rPr>
          <w:rFonts w:hint="eastAsia" w:ascii="宋体" w:hAnsi="宋体" w:eastAsia="宋体"/>
          <w:sz w:val="21"/>
        </w:rPr>
        <w:t>则该战队机器人</w:t>
      </w:r>
      <w:r>
        <w:rPr>
          <w:rFonts w:ascii="宋体" w:hAnsi="宋体" w:eastAsia="宋体"/>
          <w:sz w:val="21"/>
        </w:rPr>
        <w:t xml:space="preserve">在全力一搏阶段将被禁用。 </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全力一搏阶段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全力一搏阶段时长90秒。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比赛系统5秒倒计时结束后，系统对机器人进行通电，操作手使用蓝牙手柄控制机器人。全力一搏阶段结束时，比赛系统进行5秒倒计时，倒计时结束后系统切断机器人电源。 </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比赛结束 </w:t>
      </w:r>
    </w:p>
    <w:p>
      <w:pPr>
        <w:pStyle w:val="28"/>
        <w:adjustRightInd w:val="0"/>
        <w:snapToGrid w:val="0"/>
        <w:spacing w:line="360" w:lineRule="auto"/>
        <w:ind w:firstLine="420"/>
        <w:rPr>
          <w:rFonts w:ascii="宋体" w:hAnsi="宋体" w:eastAsia="宋体"/>
          <w:sz w:val="21"/>
        </w:rPr>
      </w:pPr>
      <w:r>
        <w:rPr>
          <w:rFonts w:ascii="宋体" w:hAnsi="宋体" w:eastAsia="宋体"/>
          <w:sz w:val="21"/>
        </w:rPr>
        <w:t xml:space="preserve">比赛结束后，操作手需立即将手柄放入场地置物筐内，并且明显远离场地边框。 </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裁判记分及成绩确认 </w:t>
      </w:r>
    </w:p>
    <w:p>
      <w:pPr>
        <w:pStyle w:val="28"/>
        <w:adjustRightInd w:val="0"/>
        <w:snapToGrid w:val="0"/>
        <w:spacing w:line="360" w:lineRule="auto"/>
        <w:ind w:firstLine="420"/>
        <w:rPr>
          <w:rFonts w:ascii="宋体" w:hAnsi="宋体" w:eastAsia="宋体"/>
          <w:sz w:val="21"/>
        </w:rPr>
      </w:pPr>
      <w:r>
        <w:rPr>
          <w:rFonts w:ascii="宋体" w:hAnsi="宋体" w:eastAsia="宋体"/>
          <w:sz w:val="21"/>
        </w:rPr>
        <w:t>比赛结束后，裁判会进行得分统计。如对比赛无异议，双方联盟队长必须签字确认比赛结果。如对比赛结果存在异议，参赛</w:t>
      </w:r>
      <w:r>
        <w:rPr>
          <w:rFonts w:hint="eastAsia" w:ascii="宋体" w:hAnsi="宋体" w:eastAsia="宋体"/>
          <w:sz w:val="21"/>
        </w:rPr>
        <w:t>队伍</w:t>
      </w:r>
      <w:r>
        <w:rPr>
          <w:rFonts w:ascii="宋体" w:hAnsi="宋体" w:eastAsia="宋体"/>
          <w:sz w:val="21"/>
        </w:rPr>
        <w:t xml:space="preserve">无需签字，应在未签字确认成绩的前提下，立刻向当值裁判提出异议，积极沟通。 </w:t>
      </w:r>
    </w:p>
    <w:p>
      <w:pPr>
        <w:pStyle w:val="28"/>
        <w:adjustRightInd w:val="0"/>
        <w:snapToGrid w:val="0"/>
        <w:spacing w:line="360" w:lineRule="auto"/>
        <w:ind w:firstLine="420"/>
        <w:rPr>
          <w:rFonts w:ascii="宋体" w:hAnsi="宋体" w:eastAsia="宋体"/>
          <w:sz w:val="21"/>
        </w:rPr>
      </w:pPr>
      <w:r>
        <w:rPr>
          <w:rFonts w:ascii="宋体" w:hAnsi="宋体" w:eastAsia="宋体"/>
          <w:sz w:val="21"/>
        </w:rPr>
        <w:t>签字确认后，参赛选手应主动协助裁判复原场地道具，并携带机器人和手柄有序离场。</w:t>
      </w:r>
    </w:p>
    <w:p>
      <w:pPr>
        <w:pStyle w:val="3"/>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bookmarkStart w:id="36" w:name="_Toc9288"/>
      <w:bookmarkStart w:id="37" w:name="_Toc1459598013"/>
      <w:bookmarkStart w:id="38" w:name="_Toc1583407955_WPSOffice_Level1"/>
      <w:r>
        <w:rPr>
          <w:rFonts w:hint="eastAsia" w:ascii="宋体" w:hAnsi="宋体" w:eastAsia="宋体" w:cs="宋体"/>
          <w:color w:val="000000" w:themeColor="text1"/>
          <w:kern w:val="0"/>
          <w:sz w:val="28"/>
          <w:szCs w:val="28"/>
          <w:lang w:val="zh-CN" w:bidi="zh-CN"/>
          <w14:textFill>
            <w14:solidFill>
              <w14:schemeClr w14:val="tx1"/>
            </w14:solidFill>
          </w14:textFill>
        </w:rPr>
        <w:t>5</w:t>
      </w:r>
      <w:r>
        <w:rPr>
          <w:rFonts w:ascii="宋体" w:hAnsi="宋体" w:eastAsia="宋体" w:cs="宋体"/>
          <w:color w:val="000000" w:themeColor="text1"/>
          <w:kern w:val="0"/>
          <w:sz w:val="28"/>
          <w:szCs w:val="28"/>
          <w:lang w:val="zh-CN" w:bidi="zh-CN"/>
          <w14:textFill>
            <w14:solidFill>
              <w14:schemeClr w14:val="tx1"/>
            </w14:solidFill>
          </w14:textFill>
        </w:rPr>
        <w:t>.技术规范</w:t>
      </w:r>
      <w:bookmarkEnd w:id="36"/>
      <w:bookmarkEnd w:id="37"/>
      <w:bookmarkEnd w:id="38"/>
    </w:p>
    <w:p>
      <w:pPr>
        <w:pStyle w:val="4"/>
        <w:keepNext w:val="0"/>
        <w:keepLines w:val="0"/>
        <w:tabs>
          <w:tab w:val="left" w:pos="668"/>
        </w:tabs>
        <w:autoSpaceDE w:val="0"/>
        <w:autoSpaceDN w:val="0"/>
        <w:spacing w:before="0" w:line="360" w:lineRule="auto"/>
        <w:ind w:left="360"/>
        <w:jc w:val="left"/>
        <w:rPr>
          <w:rFonts w:ascii="宋体" w:hAnsi="宋体" w:eastAsia="宋体" w:cs="宋体"/>
          <w:b/>
          <w:bCs/>
          <w:color w:val="000000" w:themeColor="text1"/>
          <w:kern w:val="0"/>
          <w:lang w:val="zh-CN" w:bidi="zh-CN"/>
          <w14:textFill>
            <w14:solidFill>
              <w14:schemeClr w14:val="tx1"/>
            </w14:solidFill>
          </w14:textFill>
        </w:rPr>
      </w:pPr>
      <w:bookmarkStart w:id="39" w:name="_Toc758104810"/>
      <w:bookmarkStart w:id="40" w:name="_Toc15072"/>
      <w:bookmarkStart w:id="41" w:name="_Toc1189575627_WPSOffice_Level2"/>
      <w:r>
        <w:rPr>
          <w:rFonts w:hint="eastAsia" w:ascii="宋体" w:hAnsi="宋体" w:eastAsia="宋体" w:cs="宋体"/>
          <w:b/>
          <w:bCs/>
          <w:color w:val="000000" w:themeColor="text1"/>
          <w:kern w:val="0"/>
          <w:lang w:val="zh-CN" w:bidi="zh-CN"/>
          <w14:textFill>
            <w14:solidFill>
              <w14:schemeClr w14:val="tx1"/>
            </w14:solidFill>
          </w14:textFill>
        </w:rPr>
        <w:t>5</w:t>
      </w:r>
      <w:r>
        <w:rPr>
          <w:rFonts w:ascii="宋体" w:hAnsi="宋体" w:eastAsia="宋体" w:cs="宋体"/>
          <w:b/>
          <w:bCs/>
          <w:color w:val="000000" w:themeColor="text1"/>
          <w:kern w:val="0"/>
          <w:lang w:val="zh-CN" w:bidi="zh-CN"/>
          <w14:textFill>
            <w14:solidFill>
              <w14:schemeClr w14:val="tx1"/>
            </w14:solidFill>
          </w14:textFill>
        </w:rPr>
        <w:t xml:space="preserve">.1 </w:t>
      </w:r>
      <w:r>
        <w:rPr>
          <w:rFonts w:hint="eastAsia" w:ascii="宋体" w:hAnsi="宋体" w:eastAsia="宋体" w:cs="宋体"/>
          <w:b/>
          <w:bCs/>
          <w:color w:val="000000" w:themeColor="text1"/>
          <w:kern w:val="0"/>
          <w:lang w:val="zh-CN" w:bidi="zh-CN"/>
          <w14:textFill>
            <w14:solidFill>
              <w14:schemeClr w14:val="tx1"/>
            </w14:solidFill>
          </w14:textFill>
        </w:rPr>
        <w:t>机器人制作规范</w:t>
      </w:r>
      <w:bookmarkEnd w:id="39"/>
      <w:bookmarkEnd w:id="40"/>
      <w:bookmarkEnd w:id="41"/>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机器人制作规范为指导各参赛队伍更好的参赛，提供了一个公平公正且安全的竞赛规范。鼓励各参赛队伍在充分阅读、理解该规范的前提下进行机器人的编程搭建。所有参赛</w:t>
      </w:r>
      <w:r>
        <w:rPr>
          <w:rFonts w:hint="eastAsia" w:ascii="宋体" w:hAnsi="宋体" w:eastAsia="宋体"/>
          <w:color w:val="auto"/>
          <w:sz w:val="21"/>
          <w:szCs w:val="18"/>
        </w:rPr>
        <w:t>队伍</w:t>
      </w:r>
      <w:r>
        <w:rPr>
          <w:rFonts w:ascii="宋体" w:hAnsi="宋体" w:eastAsia="宋体"/>
          <w:color w:val="auto"/>
          <w:sz w:val="21"/>
          <w:szCs w:val="18"/>
        </w:rPr>
        <w:t>的机器人必须严格遵守该制作规范，凡违背该规范要求的机器人将被要求整改，情节严重者将被判罚取消比赛成绩或取消比赛资格。</w:t>
      </w:r>
    </w:p>
    <w:p>
      <w:pPr>
        <w:pStyle w:val="72"/>
        <w:adjustRightInd w:val="0"/>
        <w:snapToGrid w:val="0"/>
        <w:spacing w:after="156" w:afterLines="50" w:line="240" w:lineRule="atLeast"/>
        <w:rPr>
          <w:rFonts w:ascii="宋体" w:hAnsi="宋体" w:eastAsia="宋体"/>
        </w:rPr>
      </w:pPr>
      <w:r>
        <w:rPr>
          <w:rFonts w:hint="eastAsia" w:ascii="宋体" w:hAnsi="宋体" w:eastAsia="宋体"/>
        </w:rPr>
        <w:t xml:space="preserve">机器人机械规范 </w:t>
      </w:r>
    </w:p>
    <w:p>
      <w:pPr>
        <w:pStyle w:val="47"/>
        <w:numPr>
          <w:ilvl w:val="0"/>
          <w:numId w:val="12"/>
        </w:numPr>
        <w:adjustRightInd w:val="0"/>
        <w:snapToGrid w:val="0"/>
        <w:spacing w:line="360" w:lineRule="auto"/>
        <w:ind w:left="0" w:firstLine="471"/>
        <w:rPr>
          <w:rFonts w:ascii="宋体" w:hAnsi="宋体" w:eastAsia="宋体"/>
          <w:color w:val="auto"/>
          <w:sz w:val="21"/>
          <w:szCs w:val="18"/>
        </w:rPr>
      </w:pPr>
      <w:r>
        <w:rPr>
          <w:rFonts w:ascii="宋体" w:hAnsi="宋体" w:eastAsia="宋体"/>
          <w:color w:val="auto"/>
          <w:sz w:val="21"/>
          <w:szCs w:val="18"/>
        </w:rPr>
        <w:t xml:space="preserve">机器人尺寸规范为：强化改装前：500mm（长）*500mm（宽）*700mm（高）；强化改装后：500mm（长）*500mm（宽），高度不限。机器人的长、宽即赛前检录时定义的长和宽，在此后的比赛任何时刻，都不允许重新定义。若机器人使用柔性材料（机器人尺寸包含柔性材料（包含但不限于扎带、胶带、泡沫块等），测量机器人尺寸时，包含柔性材料且柔性材料不可受外力影响。 </w:t>
      </w:r>
    </w:p>
    <w:tbl>
      <w:tblPr>
        <w:tblStyle w:val="19"/>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677"/>
        <w:gridCol w:w="5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3" w:type="dxa"/>
            <w:vAlign w:val="center"/>
          </w:tcPr>
          <w:p>
            <w:pPr>
              <w:pStyle w:val="105"/>
              <w:adjustRightInd w:val="0"/>
              <w:snapToGrid w:val="0"/>
              <w:spacing w:line="240" w:lineRule="atLeast"/>
              <w:jc w:val="center"/>
            </w:pPr>
          </w:p>
        </w:tc>
        <w:tc>
          <w:tcPr>
            <w:tcW w:w="1677" w:type="dxa"/>
            <w:vAlign w:val="center"/>
          </w:tcPr>
          <w:p>
            <w:pPr>
              <w:pStyle w:val="105"/>
              <w:adjustRightInd w:val="0"/>
              <w:snapToGrid w:val="0"/>
              <w:spacing w:line="240" w:lineRule="atLeast"/>
              <w:jc w:val="center"/>
            </w:pPr>
            <w:r>
              <w:t>要求</w:t>
            </w:r>
          </w:p>
        </w:tc>
        <w:tc>
          <w:tcPr>
            <w:tcW w:w="5841" w:type="dxa"/>
            <w:vAlign w:val="center"/>
          </w:tcPr>
          <w:p>
            <w:pPr>
              <w:pStyle w:val="105"/>
              <w:adjustRightInd w:val="0"/>
              <w:snapToGrid w:val="0"/>
              <w:spacing w:line="240" w:lineRule="atLeast"/>
              <w:jc w:val="center"/>
            </w:pPr>
            <w: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Align w:val="center"/>
          </w:tcPr>
          <w:p>
            <w:pPr>
              <w:pStyle w:val="105"/>
              <w:adjustRightInd w:val="0"/>
              <w:snapToGrid w:val="0"/>
              <w:spacing w:line="240" w:lineRule="atLeast"/>
              <w:jc w:val="center"/>
              <w:rPr>
                <w:sz w:val="20"/>
                <w:szCs w:val="20"/>
              </w:rPr>
            </w:pPr>
            <w:r>
              <w:rPr>
                <w:sz w:val="20"/>
                <w:szCs w:val="20"/>
              </w:rPr>
              <w:t>最大初始尺寸</w:t>
            </w:r>
          </w:p>
        </w:tc>
        <w:tc>
          <w:tcPr>
            <w:tcW w:w="1677" w:type="dxa"/>
            <w:vAlign w:val="center"/>
          </w:tcPr>
          <w:p>
            <w:pPr>
              <w:pStyle w:val="105"/>
              <w:adjustRightInd w:val="0"/>
              <w:snapToGrid w:val="0"/>
              <w:spacing w:line="240" w:lineRule="atLeast"/>
              <w:jc w:val="center"/>
              <w:rPr>
                <w:sz w:val="20"/>
                <w:szCs w:val="20"/>
              </w:rPr>
            </w:pPr>
            <w:r>
              <w:rPr>
                <w:sz w:val="20"/>
                <w:szCs w:val="20"/>
              </w:rPr>
              <w:t>500 mm（长）</w:t>
            </w:r>
          </w:p>
          <w:p>
            <w:pPr>
              <w:pStyle w:val="105"/>
              <w:adjustRightInd w:val="0"/>
              <w:snapToGrid w:val="0"/>
              <w:spacing w:line="240" w:lineRule="atLeast"/>
              <w:jc w:val="center"/>
              <w:rPr>
                <w:sz w:val="20"/>
                <w:szCs w:val="20"/>
              </w:rPr>
            </w:pPr>
            <w:r>
              <w:rPr>
                <w:sz w:val="20"/>
                <w:szCs w:val="20"/>
              </w:rPr>
              <w:t>500 mm（宽）</w:t>
            </w:r>
          </w:p>
          <w:p>
            <w:pPr>
              <w:pStyle w:val="105"/>
              <w:adjustRightInd w:val="0"/>
              <w:snapToGrid w:val="0"/>
              <w:spacing w:line="240" w:lineRule="atLeast"/>
              <w:jc w:val="center"/>
            </w:pPr>
            <w:r>
              <w:rPr>
                <w:sz w:val="20"/>
                <w:szCs w:val="20"/>
              </w:rPr>
              <w:t>700 mm（高）</w:t>
            </w:r>
          </w:p>
        </w:tc>
        <w:tc>
          <w:tcPr>
            <w:tcW w:w="5841" w:type="dxa"/>
            <w:vAlign w:val="bottom"/>
          </w:tcPr>
          <w:p>
            <w:pPr>
              <w:pStyle w:val="105"/>
              <w:adjustRightInd w:val="0"/>
              <w:snapToGrid w:val="0"/>
              <w:spacing w:line="240" w:lineRule="atLeast"/>
            </w:pPr>
            <w:r>
              <w:t>1.高度不得超过700mm，在地面的垂直投影不得超出500*500mm的方形区域 </w:t>
            </w:r>
          </w:p>
          <w:p>
            <w:pPr>
              <w:pStyle w:val="105"/>
              <w:adjustRightInd w:val="0"/>
              <w:snapToGrid w:val="0"/>
              <w:spacing w:line="240" w:lineRule="atLeast"/>
            </w:pPr>
            <w:r>
              <w:t>2.正式比赛的强化改装阶段开始前，机器人尺寸必须在最大初始尺寸范围内</w:t>
            </w:r>
          </w:p>
          <w:p>
            <w:pPr>
              <w:pStyle w:val="105"/>
              <w:adjustRightInd w:val="0"/>
              <w:snapToGrid w:val="0"/>
              <w:spacing w:line="240" w:lineRule="atLeast"/>
            </w:pPr>
            <w:r>
              <w:t>3.检录时，参赛</w:t>
            </w:r>
            <w:r>
              <w:rPr>
                <w:rFonts w:hint="eastAsia" w:ascii="微软雅黑" w:hAnsi="微软雅黑" w:eastAsia="微软雅黑" w:cs="微软雅黑"/>
              </w:rPr>
              <w:t>队伍</w:t>
            </w:r>
            <w:r>
              <w:t>须展示机器人的最大尺寸状态，并以此状态进行检录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Align w:val="center"/>
          </w:tcPr>
          <w:p>
            <w:pPr>
              <w:pStyle w:val="105"/>
              <w:adjustRightInd w:val="0"/>
              <w:snapToGrid w:val="0"/>
              <w:spacing w:line="240" w:lineRule="atLeast"/>
              <w:jc w:val="center"/>
            </w:pPr>
            <w:r>
              <w:t>最大改装尺寸</w:t>
            </w:r>
          </w:p>
        </w:tc>
        <w:tc>
          <w:tcPr>
            <w:tcW w:w="1677" w:type="dxa"/>
            <w:vAlign w:val="center"/>
          </w:tcPr>
          <w:p>
            <w:pPr>
              <w:pStyle w:val="105"/>
              <w:adjustRightInd w:val="0"/>
              <w:snapToGrid w:val="0"/>
              <w:spacing w:line="240" w:lineRule="atLeast"/>
              <w:jc w:val="center"/>
            </w:pPr>
            <w:r>
              <w:t>500 mm（长）</w:t>
            </w:r>
          </w:p>
          <w:p>
            <w:pPr>
              <w:pStyle w:val="105"/>
              <w:adjustRightInd w:val="0"/>
              <w:snapToGrid w:val="0"/>
              <w:spacing w:line="240" w:lineRule="atLeast"/>
              <w:jc w:val="center"/>
            </w:pPr>
            <w:r>
              <w:t>500 mm（宽）</w:t>
            </w:r>
          </w:p>
          <w:p>
            <w:pPr>
              <w:pStyle w:val="105"/>
              <w:adjustRightInd w:val="0"/>
              <w:snapToGrid w:val="0"/>
              <w:spacing w:line="240" w:lineRule="atLeast"/>
              <w:jc w:val="center"/>
            </w:pPr>
            <w:r>
              <w:t>不限（高）</w:t>
            </w:r>
          </w:p>
        </w:tc>
        <w:tc>
          <w:tcPr>
            <w:tcW w:w="5841" w:type="dxa"/>
            <w:vAlign w:val="bottom"/>
          </w:tcPr>
          <w:p>
            <w:pPr>
              <w:pStyle w:val="105"/>
              <w:adjustRightInd w:val="0"/>
              <w:snapToGrid w:val="0"/>
              <w:spacing w:line="240" w:lineRule="atLeast"/>
            </w:pPr>
            <w:r>
              <w:t>1.高度不做限制，在地面的垂直投影不得超出500x500mm方形区域</w:t>
            </w:r>
          </w:p>
          <w:p>
            <w:pPr>
              <w:pStyle w:val="105"/>
              <w:adjustRightInd w:val="0"/>
              <w:snapToGrid w:val="0"/>
              <w:spacing w:line="240" w:lineRule="atLeast"/>
            </w:pPr>
            <w:r>
              <w:t>2.在强化改装后，机器人尺寸必须在最大改装尺寸范围内</w:t>
            </w:r>
          </w:p>
          <w:p>
            <w:pPr>
              <w:pStyle w:val="105"/>
              <w:adjustRightInd w:val="0"/>
              <w:snapToGrid w:val="0"/>
              <w:spacing w:line="240" w:lineRule="atLeast"/>
            </w:pPr>
            <w:r>
              <w:t>3. 检录时，参赛</w:t>
            </w:r>
            <w:r>
              <w:rPr>
                <w:rFonts w:hint="eastAsia" w:ascii="微软雅黑" w:hAnsi="微软雅黑" w:eastAsia="微软雅黑" w:cs="微软雅黑"/>
              </w:rPr>
              <w:t>队伍</w:t>
            </w:r>
            <w:r>
              <w:t>需展示机器人的最大尺寸状态，并以此状态进行检录</w:t>
            </w:r>
          </w:p>
        </w:tc>
      </w:tr>
    </w:tbl>
    <w:p>
      <w:pPr>
        <w:pStyle w:val="47"/>
        <w:numPr>
          <w:ilvl w:val="0"/>
          <w:numId w:val="12"/>
        </w:numPr>
        <w:adjustRightInd w:val="0"/>
        <w:snapToGrid w:val="0"/>
        <w:spacing w:line="360" w:lineRule="auto"/>
        <w:ind w:left="0" w:firstLine="471"/>
        <w:rPr>
          <w:rFonts w:ascii="宋体" w:hAnsi="宋体" w:eastAsia="宋体"/>
          <w:color w:val="auto"/>
          <w:sz w:val="21"/>
          <w:szCs w:val="18"/>
        </w:rPr>
      </w:pPr>
      <w:r>
        <w:rPr>
          <w:rFonts w:ascii="宋体" w:hAnsi="宋体" w:eastAsia="宋体"/>
          <w:color w:val="auto"/>
          <w:sz w:val="21"/>
          <w:szCs w:val="18"/>
        </w:rPr>
        <w:t>机器人的重量不得超过10kg。机器人重量指比赛过程中机器人任意时刻最大净重量（包含电池及机器人上实装的所有零部件，包含队旗）。</w:t>
      </w:r>
    </w:p>
    <w:p>
      <w:pPr>
        <w:pStyle w:val="35"/>
        <w:numPr>
          <w:ilvl w:val="0"/>
          <w:numId w:val="12"/>
        </w:numPr>
        <w:ind w:left="0" w:firstLine="420" w:firstLineChars="200"/>
        <w:rPr>
          <w:rFonts w:ascii="宋体" w:hAnsi="宋体" w:eastAsia="宋体"/>
          <w:sz w:val="21"/>
          <w:szCs w:val="18"/>
          <w:lang w:val="en-US"/>
        </w:rPr>
      </w:pPr>
      <w:r>
        <w:rPr>
          <w:rFonts w:hint="eastAsia" w:ascii="宋体" w:hAnsi="宋体" w:eastAsia="宋体"/>
          <w:sz w:val="21"/>
          <w:szCs w:val="18"/>
          <w:lang w:val="en-US"/>
        </w:rPr>
        <w:t>行驶系统：主控及移动式机器人底盘，包括与地面直接接触的车轮、履带或其他使机器人在平坦场地表面运动的机构。对于静止不动的机器人或没有运动机构的机器人，其与地面直接接触的结构视为行驶系统。</w:t>
      </w:r>
    </w:p>
    <w:p>
      <w:pPr>
        <w:pStyle w:val="35"/>
        <w:numPr>
          <w:ilvl w:val="0"/>
          <w:numId w:val="12"/>
        </w:numPr>
        <w:ind w:left="0" w:firstLine="420" w:firstLineChars="200"/>
        <w:rPr>
          <w:rFonts w:ascii="宋体" w:hAnsi="宋体" w:eastAsia="宋体"/>
          <w:sz w:val="21"/>
          <w:szCs w:val="18"/>
          <w:lang w:val="en-US"/>
        </w:rPr>
      </w:pPr>
      <w:r>
        <w:rPr>
          <w:rFonts w:hint="eastAsia" w:ascii="宋体" w:hAnsi="宋体" w:eastAsia="宋体"/>
          <w:sz w:val="21"/>
          <w:szCs w:val="18"/>
          <w:lang w:val="en-US"/>
        </w:rPr>
        <w:t>一支参赛队只允许使用一台机器人参加比赛，战队可以在强化改装阶段改装机器人的其他结构。行驶系统不得改装，若队伍改装行驶系统，视为队伍使用第二台机器人，将受到取消比赛资格的处罚。</w:t>
      </w:r>
    </w:p>
    <w:p>
      <w:pPr>
        <w:pStyle w:val="35"/>
        <w:numPr>
          <w:ilvl w:val="0"/>
          <w:numId w:val="12"/>
        </w:numPr>
        <w:ind w:left="0" w:firstLine="420" w:firstLineChars="200"/>
        <w:rPr>
          <w:rFonts w:ascii="宋体" w:hAnsi="宋体" w:eastAsia="宋体"/>
          <w:sz w:val="21"/>
          <w:szCs w:val="18"/>
          <w:lang w:val="en-US"/>
        </w:rPr>
      </w:pPr>
      <w:r>
        <w:rPr>
          <w:rFonts w:hint="eastAsia" w:ascii="宋体" w:hAnsi="宋体" w:eastAsia="宋体"/>
          <w:sz w:val="21"/>
          <w:szCs w:val="18"/>
          <w:lang w:val="en-US"/>
        </w:rPr>
        <w:t>若因零部件故障（如车轮损坏，电机故障，主板故障等）导致的同一零部件更换行为，不属于更换行驶系统。</w:t>
      </w:r>
    </w:p>
    <w:p>
      <w:pPr>
        <w:pStyle w:val="47"/>
        <w:adjustRightInd w:val="0"/>
        <w:snapToGrid w:val="0"/>
        <w:spacing w:line="360" w:lineRule="auto"/>
        <w:ind w:left="471" w:firstLine="0"/>
        <w:rPr>
          <w:rFonts w:ascii="宋体" w:hAnsi="宋体" w:eastAsia="宋体"/>
          <w:color w:val="auto"/>
          <w:sz w:val="21"/>
          <w:szCs w:val="18"/>
          <w:highlight w:val="yellow"/>
        </w:rPr>
      </w:pPr>
    </w:p>
    <w:p>
      <w:pPr>
        <w:pStyle w:val="47"/>
        <w:numPr>
          <w:ilvl w:val="0"/>
          <w:numId w:val="12"/>
        </w:numPr>
        <w:adjustRightInd w:val="0"/>
        <w:snapToGrid w:val="0"/>
        <w:spacing w:line="360" w:lineRule="auto"/>
        <w:ind w:left="0" w:firstLine="471"/>
        <w:rPr>
          <w:rFonts w:ascii="宋体" w:hAnsi="宋体" w:eastAsia="宋体"/>
          <w:color w:val="auto"/>
          <w:sz w:val="21"/>
          <w:szCs w:val="18"/>
        </w:rPr>
      </w:pPr>
      <w:r>
        <w:rPr>
          <w:rFonts w:hint="eastAsia" w:ascii="宋体" w:hAnsi="宋体" w:eastAsia="宋体"/>
          <w:color w:val="auto"/>
          <w:sz w:val="21"/>
          <w:szCs w:val="18"/>
        </w:rPr>
        <w:t>参赛队伍可使用润滑油对零件进行润滑保</w:t>
      </w:r>
      <w:r>
        <w:rPr>
          <w:rFonts w:ascii="宋体" w:hAnsi="宋体" w:eastAsia="宋体"/>
          <w:color w:val="auto"/>
          <w:sz w:val="21"/>
          <w:szCs w:val="18"/>
        </w:rPr>
        <w:t xml:space="preserve">护，但需注意润滑油不可泄漏造成场地污染。 </w:t>
      </w:r>
    </w:p>
    <w:p>
      <w:pPr>
        <w:pStyle w:val="47"/>
        <w:numPr>
          <w:ilvl w:val="0"/>
          <w:numId w:val="12"/>
        </w:numPr>
        <w:adjustRightInd w:val="0"/>
        <w:snapToGrid w:val="0"/>
        <w:spacing w:line="360" w:lineRule="auto"/>
        <w:ind w:left="0" w:firstLine="471"/>
        <w:rPr>
          <w:rFonts w:ascii="宋体" w:hAnsi="宋体" w:eastAsia="宋体"/>
          <w:color w:val="auto"/>
          <w:sz w:val="21"/>
          <w:szCs w:val="18"/>
        </w:rPr>
      </w:pPr>
      <w:r>
        <w:rPr>
          <w:rFonts w:ascii="宋体" w:hAnsi="宋体" w:eastAsia="宋体"/>
          <w:color w:val="auto"/>
          <w:sz w:val="21"/>
          <w:szCs w:val="18"/>
        </w:rPr>
        <w:t xml:space="preserve">禁止机器人使用可能造成危险的零部件，例如： </w:t>
      </w:r>
    </w:p>
    <w:p>
      <w:pPr>
        <w:pStyle w:val="28"/>
        <w:numPr>
          <w:ilvl w:val="0"/>
          <w:numId w:val="13"/>
        </w:numPr>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 xml:space="preserve">锐利的尖角； </w:t>
      </w:r>
    </w:p>
    <w:p>
      <w:pPr>
        <w:pStyle w:val="28"/>
        <w:numPr>
          <w:ilvl w:val="0"/>
          <w:numId w:val="13"/>
        </w:numPr>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 xml:space="preserve">油压件或液压件； </w:t>
      </w:r>
    </w:p>
    <w:p>
      <w:pPr>
        <w:pStyle w:val="28"/>
        <w:numPr>
          <w:ilvl w:val="0"/>
          <w:numId w:val="13"/>
        </w:numPr>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 xml:space="preserve">含有水银的开关或触点； </w:t>
      </w:r>
    </w:p>
    <w:p>
      <w:pPr>
        <w:pStyle w:val="28"/>
        <w:numPr>
          <w:ilvl w:val="0"/>
          <w:numId w:val="13"/>
        </w:numPr>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 xml:space="preserve">能够将机器人上电流传导至场地上的零件； </w:t>
      </w:r>
    </w:p>
    <w:p>
      <w:pPr>
        <w:pStyle w:val="28"/>
        <w:numPr>
          <w:ilvl w:val="0"/>
          <w:numId w:val="13"/>
        </w:numPr>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 xml:space="preserve">易造成与其他机器人固连的零部件，如钩状零件等； </w:t>
      </w:r>
    </w:p>
    <w:p>
      <w:pPr>
        <w:pStyle w:val="28"/>
        <w:numPr>
          <w:ilvl w:val="0"/>
          <w:numId w:val="13"/>
        </w:numPr>
        <w:adjustRightInd w:val="0"/>
        <w:snapToGrid w:val="0"/>
        <w:spacing w:line="360" w:lineRule="auto"/>
        <w:ind w:left="1265" w:firstLine="420"/>
        <w:rPr>
          <w:rFonts w:ascii="宋体" w:hAnsi="宋体" w:eastAsia="宋体"/>
          <w:color w:val="auto"/>
          <w:sz w:val="21"/>
          <w:szCs w:val="18"/>
        </w:rPr>
      </w:pPr>
      <w:r>
        <w:rPr>
          <w:rFonts w:ascii="宋体" w:hAnsi="宋体" w:eastAsia="宋体"/>
          <w:color w:val="auto"/>
          <w:sz w:val="21"/>
          <w:szCs w:val="18"/>
        </w:rPr>
        <w:t xml:space="preserve">其他裁判裁定可能导致危险的零部件。 </w:t>
      </w:r>
    </w:p>
    <w:p>
      <w:pPr>
        <w:pStyle w:val="47"/>
        <w:adjustRightInd w:val="0"/>
        <w:snapToGrid w:val="0"/>
        <w:spacing w:line="360" w:lineRule="auto"/>
        <w:rPr>
          <w:rFonts w:ascii="宋体" w:hAnsi="宋体" w:eastAsia="宋体"/>
          <w:color w:val="auto"/>
          <w:sz w:val="21"/>
          <w:szCs w:val="18"/>
        </w:rPr>
      </w:pPr>
      <w:r>
        <w:rPr>
          <w:rFonts w:hint="eastAsia" w:ascii="思源黑体" w:hAnsi="思源黑体" w:eastAsia="思源黑体"/>
          <w:b/>
          <w:bCs/>
          <w:color w:val="auto"/>
          <w:szCs w:val="24"/>
        </w:rPr>
        <w:t>T</w:t>
      </w:r>
      <w:r>
        <w:rPr>
          <w:rFonts w:ascii="思源黑体" w:hAnsi="思源黑体" w:eastAsia="思源黑体"/>
          <w:b/>
          <w:bCs/>
          <w:color w:val="auto"/>
          <w:szCs w:val="24"/>
        </w:rPr>
        <w:t>08.</w:t>
      </w:r>
      <w:r>
        <w:rPr>
          <w:rFonts w:ascii="宋体" w:hAnsi="宋体" w:eastAsia="宋体"/>
          <w:color w:val="auto"/>
          <w:sz w:val="21"/>
          <w:szCs w:val="18"/>
        </w:rPr>
        <w:t xml:space="preserve">禁止机器人使用可能造成危险的材料，例如： </w:t>
      </w:r>
    </w:p>
    <w:p>
      <w:pPr>
        <w:pStyle w:val="28"/>
        <w:numPr>
          <w:ilvl w:val="0"/>
          <w:numId w:val="14"/>
        </w:numPr>
        <w:tabs>
          <w:tab w:val="left" w:pos="420"/>
        </w:tabs>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 xml:space="preserve">使用易燃易爆气体； </w:t>
      </w:r>
    </w:p>
    <w:p>
      <w:pPr>
        <w:pStyle w:val="28"/>
        <w:numPr>
          <w:ilvl w:val="0"/>
          <w:numId w:val="14"/>
        </w:numPr>
        <w:tabs>
          <w:tab w:val="left" w:pos="420"/>
        </w:tabs>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 xml:space="preserve">含有液体或胶状物的材料（按规定少量使用的胶水、润滑油除外）； </w:t>
      </w:r>
    </w:p>
    <w:p>
      <w:pPr>
        <w:pStyle w:val="28"/>
        <w:numPr>
          <w:ilvl w:val="0"/>
          <w:numId w:val="14"/>
        </w:numPr>
        <w:tabs>
          <w:tab w:val="left" w:pos="420"/>
        </w:tabs>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 xml:space="preserve">可能造成场地污染的材料，例如沙子、墨水等； </w:t>
      </w:r>
    </w:p>
    <w:p>
      <w:pPr>
        <w:pStyle w:val="28"/>
        <w:numPr>
          <w:ilvl w:val="0"/>
          <w:numId w:val="14"/>
        </w:numPr>
        <w:tabs>
          <w:tab w:val="left" w:pos="420"/>
        </w:tabs>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 xml:space="preserve">使用动物组织制作的材料； </w:t>
      </w:r>
    </w:p>
    <w:p>
      <w:pPr>
        <w:pStyle w:val="28"/>
        <w:numPr>
          <w:ilvl w:val="0"/>
          <w:numId w:val="14"/>
        </w:numPr>
        <w:tabs>
          <w:tab w:val="left" w:pos="420"/>
        </w:tabs>
        <w:adjustRightInd w:val="0"/>
        <w:snapToGrid w:val="0"/>
        <w:spacing w:line="360" w:lineRule="auto"/>
        <w:ind w:left="1265" w:firstLine="420"/>
        <w:rPr>
          <w:rFonts w:ascii="宋体" w:hAnsi="宋体" w:eastAsia="宋体"/>
          <w:sz w:val="21"/>
          <w:szCs w:val="18"/>
        </w:rPr>
      </w:pPr>
      <w:r>
        <w:rPr>
          <w:rFonts w:ascii="宋体" w:hAnsi="宋体" w:eastAsia="宋体"/>
          <w:sz w:val="21"/>
          <w:szCs w:val="18"/>
        </w:rPr>
        <w:t>其他裁判裁定可能导致危险的材料；</w:t>
      </w:r>
    </w:p>
    <w:p>
      <w:pPr>
        <w:pStyle w:val="47"/>
        <w:adjustRightInd w:val="0"/>
        <w:snapToGrid w:val="0"/>
        <w:spacing w:line="360" w:lineRule="auto"/>
        <w:rPr>
          <w:rFonts w:ascii="宋体" w:hAnsi="宋体" w:eastAsia="宋体"/>
          <w:color w:val="auto"/>
          <w:sz w:val="21"/>
          <w:szCs w:val="18"/>
        </w:rPr>
      </w:pPr>
      <w:r>
        <w:rPr>
          <w:rFonts w:hint="eastAsia" w:ascii="思源黑体" w:hAnsi="思源黑体" w:eastAsia="思源黑体"/>
          <w:b/>
          <w:bCs/>
          <w:color w:val="auto"/>
          <w:szCs w:val="24"/>
        </w:rPr>
        <w:t>T</w:t>
      </w:r>
      <w:r>
        <w:rPr>
          <w:rFonts w:ascii="思源黑体" w:hAnsi="思源黑体" w:eastAsia="思源黑体"/>
          <w:b/>
          <w:bCs/>
          <w:color w:val="auto"/>
          <w:szCs w:val="24"/>
        </w:rPr>
        <w:t>09.</w:t>
      </w:r>
      <w:r>
        <w:rPr>
          <w:rFonts w:ascii="宋体" w:hAnsi="宋体" w:eastAsia="宋体"/>
          <w:color w:val="auto"/>
          <w:sz w:val="21"/>
          <w:szCs w:val="18"/>
        </w:rPr>
        <w:t>为确保比赛的公平性，防止</w:t>
      </w:r>
      <w:r>
        <w:rPr>
          <w:rFonts w:hint="eastAsia" w:ascii="宋体" w:hAnsi="宋体" w:eastAsia="宋体"/>
          <w:color w:val="auto"/>
          <w:sz w:val="21"/>
          <w:szCs w:val="18"/>
        </w:rPr>
        <w:t>队伍</w:t>
      </w:r>
      <w:r>
        <w:rPr>
          <w:rFonts w:ascii="宋体" w:hAnsi="宋体" w:eastAsia="宋体"/>
          <w:color w:val="auto"/>
          <w:sz w:val="21"/>
          <w:szCs w:val="18"/>
        </w:rPr>
        <w:t>使用部分高性能设备破坏比赛公平性，</w:t>
      </w:r>
      <w:r>
        <w:rPr>
          <w:rFonts w:hint="eastAsia" w:ascii="宋体" w:hAnsi="宋体" w:eastAsia="宋体"/>
          <w:color w:val="auto"/>
          <w:sz w:val="21"/>
          <w:szCs w:val="18"/>
        </w:rPr>
        <w:t>队伍</w:t>
      </w:r>
      <w:r>
        <w:rPr>
          <w:rFonts w:ascii="宋体" w:hAnsi="宋体" w:eastAsia="宋体"/>
          <w:color w:val="auto"/>
          <w:sz w:val="21"/>
          <w:szCs w:val="18"/>
        </w:rPr>
        <w:t>使用的器材性能不得超过以下指标：</w:t>
      </w:r>
    </w:p>
    <w:tbl>
      <w:tblPr>
        <w:tblStyle w:val="19"/>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641"/>
        <w:gridCol w:w="2887"/>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vAlign w:val="center"/>
          </w:tcPr>
          <w:p>
            <w:pPr>
              <w:pStyle w:val="105"/>
              <w:adjustRightInd w:val="0"/>
              <w:snapToGrid w:val="0"/>
              <w:spacing w:line="240" w:lineRule="atLeast"/>
              <w:jc w:val="center"/>
            </w:pPr>
            <w:r>
              <w:rPr>
                <w:rFonts w:cs="思源黑体 CN Regular"/>
                <w:b/>
                <w:szCs w:val="20"/>
                <w:lang w:bidi="ar"/>
              </w:rPr>
              <w:t>设备类型</w:t>
            </w:r>
          </w:p>
        </w:tc>
        <w:tc>
          <w:tcPr>
            <w:tcW w:w="1641" w:type="dxa"/>
            <w:vAlign w:val="center"/>
          </w:tcPr>
          <w:p>
            <w:pPr>
              <w:pStyle w:val="105"/>
              <w:adjustRightInd w:val="0"/>
              <w:snapToGrid w:val="0"/>
              <w:spacing w:line="240" w:lineRule="atLeast"/>
              <w:jc w:val="center"/>
            </w:pPr>
            <w:r>
              <w:rPr>
                <w:rFonts w:cs="思源黑体 CN Regular"/>
                <w:b/>
                <w:szCs w:val="20"/>
                <w:lang w:bidi="ar"/>
              </w:rPr>
              <w:t>部件名称</w:t>
            </w:r>
          </w:p>
        </w:tc>
        <w:tc>
          <w:tcPr>
            <w:tcW w:w="2887" w:type="dxa"/>
            <w:vAlign w:val="center"/>
          </w:tcPr>
          <w:p>
            <w:pPr>
              <w:pStyle w:val="105"/>
              <w:adjustRightInd w:val="0"/>
              <w:snapToGrid w:val="0"/>
              <w:spacing w:line="240" w:lineRule="atLeast"/>
              <w:jc w:val="center"/>
            </w:pPr>
            <w:r>
              <w:rPr>
                <w:rFonts w:cs="思源黑体 CN Regular"/>
                <w:b/>
                <w:szCs w:val="20"/>
                <w:lang w:bidi="ar"/>
              </w:rPr>
              <w:t>规格</w:t>
            </w:r>
          </w:p>
        </w:tc>
        <w:tc>
          <w:tcPr>
            <w:tcW w:w="2887" w:type="dxa"/>
            <w:vAlign w:val="center"/>
          </w:tcPr>
          <w:p>
            <w:pPr>
              <w:pStyle w:val="105"/>
              <w:adjustRightInd w:val="0"/>
              <w:snapToGrid w:val="0"/>
              <w:spacing w:line="240" w:lineRule="atLeast"/>
              <w:jc w:val="center"/>
            </w:pPr>
            <w:r>
              <w:rPr>
                <w:rFonts w:cs="思源黑体 CN Regular"/>
                <w:b/>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8" w:hRule="atLeast"/>
          <w:jc w:val="center"/>
        </w:trPr>
        <w:tc>
          <w:tcPr>
            <w:tcW w:w="1317" w:type="dxa"/>
            <w:vMerge w:val="restart"/>
            <w:vAlign w:val="center"/>
          </w:tcPr>
          <w:p>
            <w:pPr>
              <w:pStyle w:val="105"/>
              <w:adjustRightInd w:val="0"/>
              <w:snapToGrid w:val="0"/>
              <w:spacing w:line="240" w:lineRule="atLeast"/>
              <w:jc w:val="center"/>
              <w:rPr>
                <w:rFonts w:cs="思源黑体 CN Regular"/>
                <w:b/>
                <w:szCs w:val="20"/>
                <w:lang w:bidi="ar"/>
              </w:rPr>
            </w:pPr>
            <w:r>
              <w:rPr>
                <w:rFonts w:cs="思源黑体 CN Regular"/>
                <w:bCs/>
                <w:szCs w:val="20"/>
                <w:lang w:bidi="ar"/>
              </w:rPr>
              <w:t>电机&amp;舵机</w:t>
            </w:r>
          </w:p>
        </w:tc>
        <w:tc>
          <w:tcPr>
            <w:tcW w:w="1641" w:type="dxa"/>
            <w:vAlign w:val="center"/>
          </w:tcPr>
          <w:p>
            <w:pPr>
              <w:pStyle w:val="105"/>
              <w:adjustRightInd w:val="0"/>
              <w:snapToGrid w:val="0"/>
              <w:spacing w:line="240" w:lineRule="atLeast"/>
              <w:jc w:val="center"/>
              <w:rPr>
                <w:rFonts w:cs="思源黑体 CN Regular"/>
                <w:b/>
                <w:szCs w:val="20"/>
                <w:lang w:bidi="ar"/>
              </w:rPr>
            </w:pPr>
            <w:r>
              <w:rPr>
                <w:rFonts w:cs="思源黑体 CN Regular"/>
                <w:bCs/>
                <w:szCs w:val="20"/>
                <w:lang w:bidi="ar"/>
              </w:rPr>
              <w:t>直流电机</w:t>
            </w:r>
          </w:p>
        </w:tc>
        <w:tc>
          <w:tcPr>
            <w:tcW w:w="2887" w:type="dxa"/>
            <w:vAlign w:val="center"/>
          </w:tcPr>
          <w:p>
            <w:pPr>
              <w:widowControl/>
              <w:adjustRightInd w:val="0"/>
              <w:snapToGrid w:val="0"/>
              <w:spacing w:line="240" w:lineRule="atLeast"/>
              <w:textAlignment w:val="center"/>
              <w:rPr>
                <w:rFonts w:cs="思源黑体 CN Regular"/>
                <w:bCs/>
                <w:color w:val="000000"/>
                <w:kern w:val="0"/>
                <w:szCs w:val="20"/>
                <w:lang w:bidi="ar"/>
              </w:rPr>
            </w:pPr>
            <w:r>
              <w:rPr>
                <w:rFonts w:cs="思源黑体 CN Regular"/>
                <w:bCs/>
                <w:color w:val="000000"/>
                <w:kern w:val="0"/>
                <w:szCs w:val="20"/>
                <w:lang w:bidi="ar"/>
              </w:rPr>
              <w:t>25直流电机</w:t>
            </w:r>
          </w:p>
          <w:p>
            <w:pPr>
              <w:widowControl/>
              <w:adjustRightInd w:val="0"/>
              <w:snapToGrid w:val="0"/>
              <w:spacing w:line="240" w:lineRule="atLeast"/>
              <w:textAlignment w:val="center"/>
              <w:rPr>
                <w:rFonts w:cs="思源黑体 CN Regular"/>
                <w:bCs/>
                <w:color w:val="000000"/>
                <w:szCs w:val="20"/>
              </w:rPr>
            </w:pPr>
            <w:r>
              <w:rPr>
                <w:rFonts w:cs="思源黑体 CN Regular"/>
                <w:bCs/>
                <w:color w:val="000000"/>
                <w:kern w:val="0"/>
                <w:szCs w:val="20"/>
                <w:lang w:bidi="ar"/>
              </w:rPr>
              <w:t>额定电压：6V</w:t>
            </w:r>
          </w:p>
          <w:p>
            <w:pPr>
              <w:pStyle w:val="105"/>
              <w:adjustRightInd w:val="0"/>
              <w:snapToGrid w:val="0"/>
              <w:spacing w:line="240" w:lineRule="atLeast"/>
              <w:rPr>
                <w:rFonts w:cs="思源黑体 CN Regular"/>
                <w:bCs/>
                <w:szCs w:val="20"/>
                <w:lang w:bidi="ar"/>
              </w:rPr>
            </w:pPr>
            <w:r>
              <w:rPr>
                <w:rFonts w:cs="思源黑体 CN Regular"/>
                <w:bCs/>
                <w:szCs w:val="20"/>
                <w:lang w:bidi="ar"/>
              </w:rPr>
              <w:t>额定转速：50&amp;200RPM</w:t>
            </w:r>
          </w:p>
          <w:p>
            <w:pPr>
              <w:widowControl/>
              <w:adjustRightInd w:val="0"/>
              <w:snapToGrid w:val="0"/>
              <w:spacing w:line="240" w:lineRule="atLeast"/>
              <w:textAlignment w:val="center"/>
              <w:rPr>
                <w:rFonts w:cs="思源黑体 CN Regular"/>
                <w:color w:val="000000"/>
                <w:kern w:val="0"/>
                <w:szCs w:val="20"/>
                <w:lang w:bidi="ar"/>
              </w:rPr>
            </w:pPr>
            <w:r>
              <w:rPr>
                <w:rFonts w:cs="思源黑体 CN Regular"/>
                <w:color w:val="000000"/>
                <w:kern w:val="0"/>
                <w:szCs w:val="20"/>
                <w:lang w:bidi="ar"/>
              </w:rPr>
              <w:t>37直流电机</w:t>
            </w:r>
          </w:p>
          <w:p>
            <w:pPr>
              <w:widowControl/>
              <w:adjustRightInd w:val="0"/>
              <w:snapToGrid w:val="0"/>
              <w:spacing w:line="240" w:lineRule="atLeast"/>
              <w:textAlignment w:val="center"/>
              <w:rPr>
                <w:rFonts w:cs="思源黑体 CN Regular"/>
                <w:color w:val="000000"/>
                <w:szCs w:val="20"/>
              </w:rPr>
            </w:pPr>
            <w:r>
              <w:rPr>
                <w:rFonts w:cs="思源黑体 CN Regular"/>
                <w:color w:val="000000"/>
                <w:kern w:val="0"/>
                <w:szCs w:val="20"/>
                <w:lang w:bidi="ar"/>
              </w:rPr>
              <w:t>额定电压：12V</w:t>
            </w:r>
          </w:p>
          <w:p>
            <w:pPr>
              <w:pStyle w:val="105"/>
              <w:adjustRightInd w:val="0"/>
              <w:snapToGrid w:val="0"/>
              <w:spacing w:line="240" w:lineRule="atLeast"/>
              <w:rPr>
                <w:rFonts w:cs="思源黑体 CN Regular"/>
                <w:b/>
                <w:szCs w:val="20"/>
                <w:lang w:bidi="ar"/>
              </w:rPr>
            </w:pPr>
            <w:r>
              <w:rPr>
                <w:rFonts w:cs="思源黑体 CN Regular"/>
                <w:szCs w:val="20"/>
                <w:lang w:bidi="ar"/>
              </w:rPr>
              <w:t>额定转速：50&amp;200RPM</w:t>
            </w:r>
          </w:p>
        </w:tc>
        <w:tc>
          <w:tcPr>
            <w:tcW w:w="2887" w:type="dxa"/>
            <w:vMerge w:val="restart"/>
            <w:vAlign w:val="center"/>
          </w:tcPr>
          <w:p>
            <w:pPr>
              <w:widowControl/>
              <w:adjustRightInd w:val="0"/>
              <w:snapToGrid w:val="0"/>
              <w:spacing w:line="240" w:lineRule="atLeast"/>
              <w:textAlignment w:val="center"/>
              <w:rPr>
                <w:rFonts w:cs="思源黑体 CN Regular"/>
                <w:bCs/>
                <w:color w:val="000000"/>
                <w:kern w:val="0"/>
                <w:sz w:val="22"/>
                <w:lang w:bidi="ar"/>
              </w:rPr>
            </w:pPr>
            <w:r>
              <w:rPr>
                <w:rFonts w:cs="思源黑体 CN Regular"/>
                <w:bCs/>
                <w:color w:val="000000"/>
                <w:kern w:val="0"/>
                <w:sz w:val="22"/>
                <w:lang w:bidi="ar"/>
              </w:rPr>
              <w:t>电机总数量最多13个</w:t>
            </w:r>
          </w:p>
          <w:p>
            <w:pPr>
              <w:widowControl/>
              <w:adjustRightInd w:val="0"/>
              <w:snapToGrid w:val="0"/>
              <w:spacing w:line="240" w:lineRule="atLeast"/>
              <w:textAlignment w:val="center"/>
              <w:rPr>
                <w:rFonts w:cs="思源黑体 CN Regular"/>
                <w:bCs/>
                <w:color w:val="000000"/>
                <w:kern w:val="0"/>
                <w:sz w:val="22"/>
                <w:lang w:bidi="ar"/>
              </w:rPr>
            </w:pPr>
            <w:r>
              <w:rPr>
                <w:rFonts w:hint="eastAsia" w:cs="思源黑体 CN Regular"/>
                <w:bCs/>
                <w:color w:val="000000"/>
                <w:kern w:val="0"/>
                <w:sz w:val="22"/>
                <w:lang w:bidi="ar"/>
              </w:rPr>
              <w:t>舵机数量最多6个</w:t>
            </w:r>
          </w:p>
          <w:p>
            <w:pPr>
              <w:pStyle w:val="105"/>
              <w:adjustRightInd w:val="0"/>
              <w:snapToGrid w:val="0"/>
              <w:spacing w:line="240" w:lineRule="atLeast"/>
              <w:rPr>
                <w:rFonts w:cs="思源黑体 CN Regular"/>
                <w:b/>
                <w:lang w:bidi="ar"/>
              </w:rPr>
            </w:pPr>
            <w:r>
              <w:rPr>
                <w:rFonts w:cs="思源黑体 CN Regular"/>
                <w:bCs/>
                <w:lang w:bidi="ar"/>
              </w:rPr>
              <w:t>禁止更改任何电机或舵机内部的机械结构和电气布局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vMerge w:val="continue"/>
            <w:vAlign w:val="center"/>
          </w:tcPr>
          <w:p>
            <w:pPr>
              <w:pStyle w:val="105"/>
              <w:adjustRightInd w:val="0"/>
              <w:snapToGrid w:val="0"/>
              <w:spacing w:line="240" w:lineRule="atLeast"/>
              <w:jc w:val="center"/>
            </w:pPr>
          </w:p>
        </w:tc>
        <w:tc>
          <w:tcPr>
            <w:tcW w:w="1641" w:type="dxa"/>
            <w:vAlign w:val="center"/>
          </w:tcPr>
          <w:p>
            <w:pPr>
              <w:pStyle w:val="105"/>
              <w:adjustRightInd w:val="0"/>
              <w:snapToGrid w:val="0"/>
              <w:spacing w:line="240" w:lineRule="atLeast"/>
              <w:jc w:val="center"/>
            </w:pPr>
            <w:r>
              <w:rPr>
                <w:rFonts w:cs="思源黑体 CN Regular"/>
                <w:szCs w:val="20"/>
                <w:lang w:bidi="ar"/>
              </w:rPr>
              <w:t>无刷电机</w:t>
            </w:r>
          </w:p>
        </w:tc>
        <w:tc>
          <w:tcPr>
            <w:tcW w:w="2887" w:type="dxa"/>
            <w:vAlign w:val="center"/>
          </w:tcPr>
          <w:p>
            <w:pPr>
              <w:widowControl/>
              <w:adjustRightInd w:val="0"/>
              <w:snapToGrid w:val="0"/>
              <w:spacing w:line="240" w:lineRule="atLeast"/>
              <w:textAlignment w:val="center"/>
              <w:rPr>
                <w:rFonts w:cs="思源黑体 CN Regular"/>
                <w:color w:val="000000"/>
                <w:kern w:val="0"/>
                <w:szCs w:val="20"/>
                <w:lang w:bidi="ar"/>
              </w:rPr>
            </w:pPr>
            <w:r>
              <w:rPr>
                <w:rFonts w:cs="思源黑体 CN Regular"/>
                <w:color w:val="000000"/>
                <w:kern w:val="0"/>
                <w:szCs w:val="20"/>
                <w:lang w:bidi="ar"/>
              </w:rPr>
              <w:t>2823/2824无刷电机</w:t>
            </w:r>
          </w:p>
          <w:p>
            <w:pPr>
              <w:widowControl/>
              <w:adjustRightInd w:val="0"/>
              <w:snapToGrid w:val="0"/>
              <w:spacing w:line="240" w:lineRule="atLeast"/>
              <w:textAlignment w:val="center"/>
              <w:rPr>
                <w:rFonts w:cs="思源黑体 CN Regular"/>
                <w:color w:val="000000"/>
                <w:szCs w:val="20"/>
              </w:rPr>
            </w:pPr>
            <w:r>
              <w:rPr>
                <w:rFonts w:cs="思源黑体 CN Regular"/>
                <w:color w:val="000000"/>
                <w:kern w:val="0"/>
                <w:szCs w:val="20"/>
                <w:lang w:bidi="ar"/>
              </w:rPr>
              <w:t>额定电压：10000 mA MAX</w:t>
            </w:r>
          </w:p>
          <w:p>
            <w:pPr>
              <w:pStyle w:val="105"/>
              <w:adjustRightInd w:val="0"/>
              <w:snapToGrid w:val="0"/>
              <w:spacing w:line="240" w:lineRule="atLeast"/>
            </w:pPr>
            <w:r>
              <w:rPr>
                <w:rFonts w:cs="思源黑体 CN Regular"/>
                <w:szCs w:val="20"/>
                <w:lang w:bidi="ar"/>
              </w:rPr>
              <w:t>额定转速：7300 rpm</w:t>
            </w:r>
          </w:p>
        </w:tc>
        <w:tc>
          <w:tcPr>
            <w:tcW w:w="2887" w:type="dxa"/>
            <w:vMerge w:val="continue"/>
            <w:vAlign w:val="bottom"/>
          </w:tcPr>
          <w:p>
            <w:pPr>
              <w:pStyle w:val="105"/>
              <w:adjustRightInd w:val="0"/>
              <w:snapToGrid w:val="0"/>
              <w:spacing w:line="24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vMerge w:val="continue"/>
            <w:vAlign w:val="center"/>
          </w:tcPr>
          <w:p>
            <w:pPr>
              <w:pStyle w:val="105"/>
              <w:adjustRightInd w:val="0"/>
              <w:snapToGrid w:val="0"/>
              <w:spacing w:line="240" w:lineRule="atLeast"/>
              <w:jc w:val="center"/>
            </w:pPr>
          </w:p>
        </w:tc>
        <w:tc>
          <w:tcPr>
            <w:tcW w:w="1641" w:type="dxa"/>
            <w:vAlign w:val="center"/>
          </w:tcPr>
          <w:p>
            <w:pPr>
              <w:pStyle w:val="105"/>
              <w:adjustRightInd w:val="0"/>
              <w:snapToGrid w:val="0"/>
              <w:spacing w:line="240" w:lineRule="atLeast"/>
              <w:jc w:val="center"/>
            </w:pPr>
            <w:r>
              <w:rPr>
                <w:rFonts w:cs="思源黑体 CN Regular"/>
                <w:szCs w:val="20"/>
                <w:lang w:bidi="ar"/>
              </w:rPr>
              <w:t>编码电机</w:t>
            </w:r>
          </w:p>
        </w:tc>
        <w:tc>
          <w:tcPr>
            <w:tcW w:w="2887" w:type="dxa"/>
            <w:vAlign w:val="center"/>
          </w:tcPr>
          <w:p>
            <w:pPr>
              <w:widowControl/>
              <w:adjustRightInd w:val="0"/>
              <w:snapToGrid w:val="0"/>
              <w:spacing w:line="240" w:lineRule="atLeast"/>
              <w:textAlignment w:val="center"/>
              <w:rPr>
                <w:rFonts w:cs="思源黑体 CN Regular"/>
                <w:color w:val="000000"/>
                <w:kern w:val="0"/>
                <w:szCs w:val="20"/>
                <w:lang w:bidi="ar"/>
              </w:rPr>
            </w:pPr>
            <w:r>
              <w:rPr>
                <w:rFonts w:cs="思源黑体 CN Regular"/>
                <w:color w:val="000000"/>
                <w:kern w:val="0"/>
                <w:szCs w:val="20"/>
                <w:lang w:bidi="ar"/>
              </w:rPr>
              <w:t>180智能编码电机</w:t>
            </w:r>
          </w:p>
          <w:p>
            <w:pPr>
              <w:widowControl/>
              <w:adjustRightInd w:val="0"/>
              <w:snapToGrid w:val="0"/>
              <w:spacing w:line="240" w:lineRule="atLeast"/>
              <w:textAlignment w:val="center"/>
              <w:rPr>
                <w:rFonts w:cs="思源黑体 CN Regular"/>
                <w:color w:val="000000"/>
                <w:szCs w:val="20"/>
              </w:rPr>
            </w:pPr>
            <w:r>
              <w:rPr>
                <w:rFonts w:cs="思源黑体 CN Regular"/>
                <w:color w:val="000000"/>
                <w:kern w:val="0"/>
                <w:szCs w:val="20"/>
                <w:lang w:bidi="ar"/>
              </w:rPr>
              <w:t>额定电压：12</w:t>
            </w:r>
          </w:p>
          <w:p>
            <w:pPr>
              <w:widowControl/>
              <w:adjustRightInd w:val="0"/>
              <w:snapToGrid w:val="0"/>
              <w:spacing w:line="240" w:lineRule="atLeast"/>
              <w:textAlignment w:val="center"/>
              <w:rPr>
                <w:rFonts w:cs="思源黑体 CN Regular"/>
                <w:color w:val="000000"/>
                <w:szCs w:val="20"/>
              </w:rPr>
            </w:pPr>
            <w:r>
              <w:rPr>
                <w:rFonts w:cs="思源黑体 CN Regular"/>
                <w:color w:val="000000"/>
                <w:kern w:val="0"/>
                <w:szCs w:val="20"/>
                <w:lang w:bidi="ar"/>
              </w:rPr>
              <w:t>空载转速：580±10%RPM</w:t>
            </w:r>
          </w:p>
          <w:p>
            <w:pPr>
              <w:pStyle w:val="105"/>
              <w:adjustRightInd w:val="0"/>
              <w:snapToGrid w:val="0"/>
              <w:spacing w:line="240" w:lineRule="atLeast"/>
            </w:pPr>
            <w:r>
              <w:rPr>
                <w:rFonts w:cs="思源黑体 CN Regular"/>
                <w:szCs w:val="20"/>
                <w:lang w:bidi="ar"/>
              </w:rPr>
              <w:t>减速比：39:43</w:t>
            </w:r>
          </w:p>
        </w:tc>
        <w:tc>
          <w:tcPr>
            <w:tcW w:w="2887" w:type="dxa"/>
            <w:vMerge w:val="continue"/>
            <w:vAlign w:val="bottom"/>
          </w:tcPr>
          <w:p>
            <w:pPr>
              <w:pStyle w:val="105"/>
              <w:adjustRightInd w:val="0"/>
              <w:snapToGrid w:val="0"/>
              <w:spacing w:line="24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vMerge w:val="continue"/>
            <w:vAlign w:val="center"/>
          </w:tcPr>
          <w:p>
            <w:pPr>
              <w:pStyle w:val="105"/>
              <w:adjustRightInd w:val="0"/>
              <w:snapToGrid w:val="0"/>
              <w:spacing w:line="240" w:lineRule="atLeast"/>
              <w:jc w:val="center"/>
            </w:pPr>
          </w:p>
        </w:tc>
        <w:tc>
          <w:tcPr>
            <w:tcW w:w="1641" w:type="dxa"/>
            <w:vAlign w:val="center"/>
          </w:tcPr>
          <w:p>
            <w:pPr>
              <w:pStyle w:val="105"/>
              <w:adjustRightInd w:val="0"/>
              <w:snapToGrid w:val="0"/>
              <w:spacing w:line="240" w:lineRule="atLeast"/>
              <w:jc w:val="center"/>
            </w:pPr>
            <w:r>
              <w:rPr>
                <w:rFonts w:cs="思源黑体 CN Regular"/>
                <w:szCs w:val="20"/>
                <w:lang w:bidi="ar"/>
              </w:rPr>
              <w:t>智能舵机</w:t>
            </w:r>
          </w:p>
        </w:tc>
        <w:tc>
          <w:tcPr>
            <w:tcW w:w="2887" w:type="dxa"/>
            <w:vAlign w:val="center"/>
          </w:tcPr>
          <w:p>
            <w:pPr>
              <w:widowControl/>
              <w:adjustRightInd w:val="0"/>
              <w:snapToGrid w:val="0"/>
              <w:spacing w:line="240" w:lineRule="atLeast"/>
              <w:textAlignment w:val="center"/>
              <w:rPr>
                <w:rFonts w:cs="思源黑体 CN Regular"/>
                <w:color w:val="000000"/>
                <w:kern w:val="0"/>
                <w:szCs w:val="20"/>
                <w:lang w:bidi="ar"/>
              </w:rPr>
            </w:pPr>
            <w:r>
              <w:rPr>
                <w:rFonts w:cs="思源黑体 CN Regular"/>
                <w:color w:val="000000"/>
                <w:kern w:val="0"/>
                <w:szCs w:val="20"/>
                <w:lang w:bidi="ar"/>
              </w:rPr>
              <w:t>MS-12A智能舵机</w:t>
            </w:r>
          </w:p>
          <w:p>
            <w:pPr>
              <w:widowControl/>
              <w:adjustRightInd w:val="0"/>
              <w:snapToGrid w:val="0"/>
              <w:spacing w:line="240" w:lineRule="atLeast"/>
              <w:textAlignment w:val="center"/>
              <w:rPr>
                <w:rFonts w:cs="思源黑体 CN Regular"/>
                <w:color w:val="000000"/>
                <w:szCs w:val="20"/>
              </w:rPr>
            </w:pPr>
            <w:r>
              <w:rPr>
                <w:rFonts w:cs="思源黑体 CN Regular"/>
                <w:color w:val="000000"/>
                <w:kern w:val="0"/>
                <w:szCs w:val="20"/>
                <w:lang w:bidi="ar"/>
              </w:rPr>
              <w:t>工作电压：DC6V~12.6V</w:t>
            </w:r>
          </w:p>
          <w:p>
            <w:pPr>
              <w:pStyle w:val="105"/>
              <w:adjustRightInd w:val="0"/>
              <w:snapToGrid w:val="0"/>
              <w:spacing w:line="240" w:lineRule="atLeast"/>
            </w:pPr>
            <w:r>
              <w:rPr>
                <w:rFonts w:cs="思源黑体 CN Regular"/>
                <w:szCs w:val="20"/>
                <w:lang w:bidi="ar"/>
              </w:rPr>
              <w:t>扭矩：12kgf.cm</w:t>
            </w:r>
          </w:p>
        </w:tc>
        <w:tc>
          <w:tcPr>
            <w:tcW w:w="2887" w:type="dxa"/>
            <w:vMerge w:val="continue"/>
            <w:vAlign w:val="bottom"/>
          </w:tcPr>
          <w:p>
            <w:pPr>
              <w:pStyle w:val="105"/>
              <w:adjustRightInd w:val="0"/>
              <w:snapToGrid w:val="0"/>
              <w:spacing w:line="240" w:lineRule="atLeast"/>
            </w:pPr>
          </w:p>
        </w:tc>
      </w:tr>
    </w:tbl>
    <w:p>
      <w:pPr>
        <w:pStyle w:val="72"/>
        <w:adjustRightInd w:val="0"/>
        <w:snapToGrid w:val="0"/>
        <w:spacing w:after="156" w:afterLines="50" w:line="240" w:lineRule="atLeast"/>
      </w:pPr>
      <w:r>
        <w:rPr>
          <w:rFonts w:hint="eastAsia"/>
        </w:rPr>
        <w:t xml:space="preserve">机器人电子技术规范 </w:t>
      </w:r>
    </w:p>
    <w:p>
      <w:pPr>
        <w:pStyle w:val="47"/>
        <w:adjustRightInd w:val="0"/>
        <w:snapToGrid w:val="0"/>
        <w:spacing w:line="360" w:lineRule="auto"/>
        <w:rPr>
          <w:rFonts w:ascii="宋体" w:hAnsi="宋体" w:eastAsia="宋体"/>
          <w:color w:val="auto"/>
          <w:sz w:val="21"/>
          <w:szCs w:val="18"/>
        </w:rPr>
      </w:pPr>
      <w:r>
        <w:rPr>
          <w:rFonts w:hint="eastAsia" w:ascii="思源黑体" w:hAnsi="思源黑体" w:eastAsia="思源黑体"/>
          <w:b/>
          <w:bCs/>
          <w:color w:val="auto"/>
          <w:szCs w:val="24"/>
        </w:rPr>
        <w:t>T</w:t>
      </w:r>
      <w:r>
        <w:rPr>
          <w:rFonts w:ascii="思源黑体" w:hAnsi="思源黑体" w:eastAsia="思源黑体"/>
          <w:b/>
          <w:bCs/>
          <w:color w:val="auto"/>
          <w:szCs w:val="24"/>
        </w:rPr>
        <w:t xml:space="preserve">10. </w:t>
      </w:r>
      <w:r>
        <w:rPr>
          <w:rFonts w:ascii="宋体" w:hAnsi="宋体" w:eastAsia="宋体"/>
          <w:color w:val="auto"/>
          <w:sz w:val="21"/>
          <w:szCs w:val="18"/>
        </w:rPr>
        <w:t xml:space="preserve">除激光瞄准装置以外，每台机器人只能使用至多一块电池，且电池需安全固定于机器内部。机器人运动过程中电池不可发生磕碰或脱离机器人本体。 </w:t>
      </w:r>
    </w:p>
    <w:p>
      <w:pPr>
        <w:pStyle w:val="47"/>
        <w:adjustRightInd w:val="0"/>
        <w:snapToGrid w:val="0"/>
        <w:spacing w:line="360" w:lineRule="auto"/>
        <w:rPr>
          <w:rFonts w:ascii="宋体" w:hAnsi="宋体" w:eastAsia="宋体"/>
          <w:color w:val="auto"/>
          <w:sz w:val="21"/>
          <w:szCs w:val="18"/>
        </w:rPr>
      </w:pPr>
      <w:r>
        <w:rPr>
          <w:rFonts w:hint="eastAsia" w:ascii="思源黑体" w:hAnsi="思源黑体" w:eastAsia="思源黑体"/>
          <w:b/>
          <w:bCs/>
          <w:color w:val="auto"/>
          <w:szCs w:val="24"/>
        </w:rPr>
        <w:t>T</w:t>
      </w:r>
      <w:r>
        <w:rPr>
          <w:rFonts w:ascii="思源黑体" w:hAnsi="思源黑体" w:eastAsia="思源黑体"/>
          <w:b/>
          <w:bCs/>
          <w:color w:val="auto"/>
          <w:szCs w:val="24"/>
        </w:rPr>
        <w:t xml:space="preserve">11. </w:t>
      </w:r>
      <w:r>
        <w:rPr>
          <w:rFonts w:ascii="宋体" w:hAnsi="宋体" w:eastAsia="宋体"/>
          <w:color w:val="auto"/>
          <w:sz w:val="21"/>
          <w:szCs w:val="18"/>
        </w:rPr>
        <w:t>若参赛</w:t>
      </w:r>
      <w:r>
        <w:rPr>
          <w:rFonts w:hint="eastAsia" w:ascii="宋体" w:hAnsi="宋体" w:eastAsia="宋体"/>
          <w:color w:val="auto"/>
          <w:sz w:val="21"/>
          <w:szCs w:val="18"/>
        </w:rPr>
        <w:t>队伍</w:t>
      </w:r>
      <w:r>
        <w:rPr>
          <w:rFonts w:ascii="宋体" w:hAnsi="宋体" w:eastAsia="宋体"/>
          <w:color w:val="auto"/>
          <w:sz w:val="21"/>
          <w:szCs w:val="18"/>
        </w:rPr>
        <w:t xml:space="preserve">机器人使用激光瞄准器，该激光瞄准器功率需小于等于5mW（第3 a/R级以下），每台机器人仅允许安装至多一个激光瞄准器。 </w:t>
      </w:r>
    </w:p>
    <w:p>
      <w:pPr>
        <w:pStyle w:val="47"/>
        <w:adjustRightInd w:val="0"/>
        <w:snapToGrid w:val="0"/>
        <w:spacing w:line="360" w:lineRule="auto"/>
        <w:rPr>
          <w:rFonts w:ascii="宋体" w:hAnsi="宋体" w:eastAsia="宋体"/>
          <w:color w:val="auto"/>
          <w:sz w:val="21"/>
          <w:szCs w:val="18"/>
        </w:rPr>
      </w:pPr>
      <w:r>
        <w:rPr>
          <w:rFonts w:hint="eastAsia" w:ascii="思源黑体" w:hAnsi="思源黑体" w:eastAsia="思源黑体"/>
          <w:b/>
          <w:bCs/>
          <w:color w:val="auto"/>
          <w:szCs w:val="24"/>
        </w:rPr>
        <w:t>T</w:t>
      </w:r>
      <w:r>
        <w:rPr>
          <w:rFonts w:ascii="思源黑体" w:hAnsi="思源黑体" w:eastAsia="思源黑体"/>
          <w:b/>
          <w:bCs/>
          <w:color w:val="auto"/>
          <w:szCs w:val="24"/>
        </w:rPr>
        <w:t xml:space="preserve">12. </w:t>
      </w:r>
      <w:r>
        <w:rPr>
          <w:rFonts w:ascii="宋体" w:hAnsi="宋体" w:eastAsia="宋体"/>
          <w:color w:val="auto"/>
          <w:sz w:val="21"/>
          <w:szCs w:val="18"/>
        </w:rPr>
        <w:t xml:space="preserve">电池导线需保证完整无损，不得出现裂缝破损，不得露出金属导线。供电线路与机器人结构件需保证电气隔离。 </w:t>
      </w:r>
    </w:p>
    <w:p>
      <w:pPr>
        <w:pStyle w:val="47"/>
        <w:adjustRightInd w:val="0"/>
        <w:snapToGrid w:val="0"/>
        <w:spacing w:line="360" w:lineRule="auto"/>
        <w:rPr>
          <w:rFonts w:ascii="宋体" w:hAnsi="宋体" w:eastAsia="宋体"/>
          <w:color w:val="auto"/>
          <w:sz w:val="21"/>
          <w:szCs w:val="18"/>
        </w:rPr>
      </w:pPr>
      <w:r>
        <w:rPr>
          <w:rFonts w:hint="eastAsia" w:ascii="思源黑体" w:hAnsi="思源黑体" w:eastAsia="思源黑体"/>
          <w:b/>
          <w:bCs/>
          <w:color w:val="auto"/>
          <w:szCs w:val="24"/>
        </w:rPr>
        <w:t>T</w:t>
      </w:r>
      <w:r>
        <w:rPr>
          <w:rFonts w:ascii="思源黑体" w:hAnsi="思源黑体" w:eastAsia="思源黑体"/>
          <w:b/>
          <w:bCs/>
          <w:color w:val="auto"/>
          <w:szCs w:val="24"/>
        </w:rPr>
        <w:t xml:space="preserve">13. </w:t>
      </w:r>
      <w:r>
        <w:rPr>
          <w:rFonts w:ascii="宋体" w:hAnsi="宋体" w:eastAsia="宋体"/>
          <w:color w:val="auto"/>
          <w:sz w:val="21"/>
          <w:szCs w:val="18"/>
        </w:rPr>
        <w:t>为防止</w:t>
      </w:r>
      <w:r>
        <w:rPr>
          <w:rFonts w:hint="eastAsia" w:ascii="宋体" w:hAnsi="宋体" w:eastAsia="宋体"/>
          <w:color w:val="auto"/>
          <w:sz w:val="21"/>
          <w:szCs w:val="18"/>
        </w:rPr>
        <w:t>队伍</w:t>
      </w:r>
      <w:r>
        <w:rPr>
          <w:rFonts w:ascii="宋体" w:hAnsi="宋体" w:eastAsia="宋体"/>
          <w:color w:val="auto"/>
          <w:sz w:val="21"/>
          <w:szCs w:val="18"/>
        </w:rPr>
        <w:t>使用部分高性能</w:t>
      </w:r>
      <w:r>
        <w:rPr>
          <w:rFonts w:hint="eastAsia" w:ascii="宋体" w:hAnsi="宋体" w:eastAsia="宋体"/>
          <w:color w:val="auto"/>
          <w:sz w:val="21"/>
          <w:szCs w:val="18"/>
        </w:rPr>
        <w:t>电子设备</w:t>
      </w:r>
      <w:r>
        <w:rPr>
          <w:rFonts w:ascii="宋体" w:hAnsi="宋体" w:eastAsia="宋体"/>
          <w:color w:val="auto"/>
          <w:sz w:val="21"/>
          <w:szCs w:val="18"/>
        </w:rPr>
        <w:t>破坏比赛公平性，</w:t>
      </w:r>
      <w:r>
        <w:rPr>
          <w:rFonts w:hint="eastAsia" w:ascii="宋体" w:hAnsi="宋体" w:eastAsia="宋体"/>
          <w:color w:val="auto"/>
          <w:sz w:val="21"/>
          <w:szCs w:val="18"/>
        </w:rPr>
        <w:t>队伍</w:t>
      </w:r>
      <w:r>
        <w:rPr>
          <w:rFonts w:ascii="宋体" w:hAnsi="宋体" w:eastAsia="宋体"/>
          <w:color w:val="auto"/>
          <w:sz w:val="21"/>
          <w:szCs w:val="18"/>
        </w:rPr>
        <w:t>使用的</w:t>
      </w:r>
      <w:r>
        <w:rPr>
          <w:rFonts w:hint="eastAsia" w:ascii="宋体" w:hAnsi="宋体" w:eastAsia="宋体"/>
          <w:color w:val="auto"/>
          <w:sz w:val="21"/>
          <w:szCs w:val="18"/>
        </w:rPr>
        <w:t>电子设备</w:t>
      </w:r>
      <w:r>
        <w:rPr>
          <w:rFonts w:ascii="宋体" w:hAnsi="宋体" w:eastAsia="宋体"/>
          <w:color w:val="auto"/>
          <w:sz w:val="21"/>
          <w:szCs w:val="18"/>
        </w:rPr>
        <w:t>需满足且不得超过以下性能指标：</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499"/>
        <w:gridCol w:w="3364"/>
        <w:gridCol w:w="2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pStyle w:val="105"/>
              <w:adjustRightInd w:val="0"/>
              <w:snapToGrid w:val="0"/>
              <w:spacing w:line="240" w:lineRule="atLeast"/>
              <w:jc w:val="center"/>
              <w:rPr>
                <w:rFonts w:cs="思源黑体 CN Regular"/>
                <w:b/>
                <w:bCs/>
                <w:sz w:val="20"/>
                <w:szCs w:val="20"/>
              </w:rPr>
            </w:pPr>
            <w:r>
              <w:t xml:space="preserve"> </w:t>
            </w:r>
            <w:r>
              <w:rPr>
                <w:rFonts w:hint="eastAsia" w:cs="思源黑体 CN Regular"/>
                <w:b/>
                <w:bCs/>
                <w:sz w:val="20"/>
                <w:szCs w:val="20"/>
              </w:rPr>
              <w:t>系统名称</w:t>
            </w:r>
          </w:p>
        </w:tc>
        <w:tc>
          <w:tcPr>
            <w:tcW w:w="1499" w:type="dxa"/>
            <w:vAlign w:val="center"/>
          </w:tcPr>
          <w:p>
            <w:pPr>
              <w:pStyle w:val="105"/>
              <w:adjustRightInd w:val="0"/>
              <w:snapToGrid w:val="0"/>
              <w:spacing w:line="240" w:lineRule="atLeast"/>
              <w:jc w:val="center"/>
              <w:rPr>
                <w:rFonts w:cs="思源黑体 CN Regular"/>
                <w:b/>
                <w:bCs/>
                <w:sz w:val="20"/>
                <w:szCs w:val="20"/>
              </w:rPr>
            </w:pPr>
            <w:r>
              <w:rPr>
                <w:rFonts w:hint="eastAsia" w:cs="思源黑体 CN Regular"/>
                <w:b/>
                <w:bCs/>
                <w:sz w:val="20"/>
                <w:szCs w:val="20"/>
              </w:rPr>
              <w:t>模块名称</w:t>
            </w:r>
          </w:p>
        </w:tc>
        <w:tc>
          <w:tcPr>
            <w:tcW w:w="3364" w:type="dxa"/>
            <w:vAlign w:val="center"/>
          </w:tcPr>
          <w:p>
            <w:pPr>
              <w:pStyle w:val="105"/>
              <w:adjustRightInd w:val="0"/>
              <w:snapToGrid w:val="0"/>
              <w:spacing w:line="240" w:lineRule="atLeast"/>
              <w:jc w:val="center"/>
              <w:rPr>
                <w:rFonts w:cs="思源黑体 CN Regular"/>
                <w:b/>
                <w:bCs/>
                <w:sz w:val="20"/>
                <w:szCs w:val="20"/>
              </w:rPr>
            </w:pPr>
            <w:r>
              <w:rPr>
                <w:rFonts w:hint="eastAsia" w:cs="思源黑体 CN Regular"/>
                <w:b/>
                <w:bCs/>
                <w:sz w:val="20"/>
                <w:szCs w:val="20"/>
              </w:rPr>
              <w:t>规格</w:t>
            </w:r>
          </w:p>
        </w:tc>
        <w:tc>
          <w:tcPr>
            <w:tcW w:w="2019" w:type="dxa"/>
            <w:vAlign w:val="center"/>
          </w:tcPr>
          <w:p>
            <w:pPr>
              <w:pStyle w:val="105"/>
              <w:adjustRightInd w:val="0"/>
              <w:snapToGrid w:val="0"/>
              <w:spacing w:line="240" w:lineRule="atLeast"/>
              <w:jc w:val="center"/>
              <w:rPr>
                <w:rFonts w:cs="思源黑体 CN Regular"/>
                <w:b/>
                <w:bCs/>
                <w:sz w:val="20"/>
                <w:szCs w:val="20"/>
              </w:rPr>
            </w:pPr>
            <w:r>
              <w:rPr>
                <w:rFonts w:hint="eastAsia" w:cs="思源黑体 CN Regular"/>
                <w:b/>
                <w:bCs/>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pStyle w:val="105"/>
              <w:adjustRightInd w:val="0"/>
              <w:snapToGrid w:val="0"/>
              <w:spacing w:line="240" w:lineRule="atLeast"/>
              <w:jc w:val="center"/>
              <w:rPr>
                <w:rFonts w:cs="思源黑体 CN Regular"/>
                <w:sz w:val="20"/>
                <w:szCs w:val="20"/>
              </w:rPr>
            </w:pPr>
            <w:r>
              <w:rPr>
                <w:rFonts w:hint="eastAsia" w:cs="思源黑体 CN Regular"/>
                <w:sz w:val="20"/>
                <w:szCs w:val="20"/>
              </w:rPr>
              <w:t>电力系统</w:t>
            </w:r>
          </w:p>
        </w:tc>
        <w:tc>
          <w:tcPr>
            <w:tcW w:w="1499" w:type="dxa"/>
            <w:vAlign w:val="center"/>
          </w:tcPr>
          <w:p>
            <w:pPr>
              <w:pStyle w:val="105"/>
              <w:adjustRightInd w:val="0"/>
              <w:snapToGrid w:val="0"/>
              <w:spacing w:line="240" w:lineRule="atLeast"/>
              <w:jc w:val="center"/>
              <w:rPr>
                <w:rFonts w:cs="思源黑体 CN Regular"/>
                <w:sz w:val="20"/>
                <w:szCs w:val="20"/>
              </w:rPr>
            </w:pPr>
            <w:r>
              <w:rPr>
                <w:rFonts w:hint="eastAsia" w:cs="思源黑体 CN Regular"/>
                <w:sz w:val="20"/>
                <w:szCs w:val="20"/>
              </w:rPr>
              <w:t>航模电池</w:t>
            </w:r>
          </w:p>
        </w:tc>
        <w:tc>
          <w:tcPr>
            <w:tcW w:w="3364" w:type="dxa"/>
            <w:vAlign w:val="bottom"/>
          </w:tcPr>
          <w:p>
            <w:pPr>
              <w:pStyle w:val="105"/>
              <w:adjustRightInd w:val="0"/>
              <w:snapToGrid w:val="0"/>
              <w:spacing w:line="240" w:lineRule="atLeast"/>
              <w:rPr>
                <w:rFonts w:cs="思源黑体 CN Regular"/>
                <w:sz w:val="20"/>
                <w:szCs w:val="20"/>
              </w:rPr>
            </w:pPr>
            <w:r>
              <w:rPr>
                <w:rFonts w:hint="eastAsia" w:cs="思源黑体 CN Regular"/>
                <w:sz w:val="20"/>
                <w:szCs w:val="20"/>
              </w:rPr>
              <w:t>3S航模电池</w:t>
            </w:r>
          </w:p>
          <w:p>
            <w:pPr>
              <w:pStyle w:val="105"/>
              <w:adjustRightInd w:val="0"/>
              <w:snapToGrid w:val="0"/>
              <w:spacing w:line="240" w:lineRule="atLeast"/>
              <w:rPr>
                <w:rFonts w:cs="思源黑体 CN Regular"/>
                <w:sz w:val="20"/>
                <w:szCs w:val="20"/>
              </w:rPr>
            </w:pPr>
            <w:r>
              <w:rPr>
                <w:rFonts w:hint="eastAsia" w:cs="思源黑体 CN Regular"/>
                <w:sz w:val="20"/>
                <w:szCs w:val="20"/>
              </w:rPr>
              <w:t>电压</w:t>
            </w:r>
            <w:r>
              <w:rPr>
                <w:rFonts w:cs="思源黑体 CN Regular"/>
                <w:sz w:val="20"/>
                <w:szCs w:val="20"/>
              </w:rPr>
              <w:t>:11.1</w:t>
            </w:r>
            <w:r>
              <w:rPr>
                <w:rFonts w:hint="eastAsia" w:cs="思源黑体 CN Regular"/>
                <w:sz w:val="20"/>
                <w:szCs w:val="20"/>
              </w:rPr>
              <w:t>V</w:t>
            </w:r>
            <w:r>
              <w:rPr>
                <w:rFonts w:cs="思源黑体 CN Regular"/>
                <w:sz w:val="20"/>
                <w:szCs w:val="20"/>
              </w:rPr>
              <w:br w:type="textWrapping"/>
            </w:r>
            <w:r>
              <w:rPr>
                <w:rFonts w:hint="eastAsia" w:cs="思源黑体 CN Regular"/>
                <w:sz w:val="20"/>
                <w:szCs w:val="20"/>
              </w:rPr>
              <w:t>放电倍率：25-30c</w:t>
            </w:r>
            <w:r>
              <w:rPr>
                <w:rFonts w:cs="思源黑体 CN Regular"/>
                <w:sz w:val="20"/>
                <w:szCs w:val="20"/>
              </w:rPr>
              <w:br w:type="textWrapping"/>
            </w:r>
            <w:r>
              <w:rPr>
                <w:rFonts w:hint="eastAsia" w:cs="思源黑体 CN Regular"/>
                <w:sz w:val="20"/>
                <w:szCs w:val="20"/>
              </w:rPr>
              <w:t>电池容量：4</w:t>
            </w:r>
            <w:r>
              <w:rPr>
                <w:rFonts w:cs="思源黑体 CN Regular"/>
                <w:sz w:val="20"/>
                <w:szCs w:val="20"/>
              </w:rPr>
              <w:t>200</w:t>
            </w:r>
            <w:r>
              <w:rPr>
                <w:rFonts w:hint="eastAsia" w:cs="思源黑体 CN Regular"/>
                <w:sz w:val="20"/>
                <w:szCs w:val="20"/>
              </w:rPr>
              <w:t>mAh</w:t>
            </w:r>
          </w:p>
        </w:tc>
        <w:tc>
          <w:tcPr>
            <w:tcW w:w="2019" w:type="dxa"/>
            <w:vAlign w:val="center"/>
          </w:tcPr>
          <w:p>
            <w:pPr>
              <w:pStyle w:val="105"/>
              <w:adjustRightInd w:val="0"/>
              <w:snapToGrid w:val="0"/>
              <w:spacing w:line="240" w:lineRule="atLeast"/>
              <w:jc w:val="center"/>
              <w:rPr>
                <w:rFonts w:cs="思源黑体 CN Regula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14" w:type="dxa"/>
            <w:vAlign w:val="center"/>
          </w:tcPr>
          <w:p>
            <w:pPr>
              <w:pStyle w:val="105"/>
              <w:adjustRightInd w:val="0"/>
              <w:snapToGrid w:val="0"/>
              <w:spacing w:line="240" w:lineRule="atLeast"/>
              <w:jc w:val="center"/>
              <w:rPr>
                <w:rFonts w:cs="思源黑体 CN Regular"/>
                <w:sz w:val="20"/>
                <w:szCs w:val="20"/>
              </w:rPr>
            </w:pPr>
            <w:r>
              <w:rPr>
                <w:rFonts w:hint="eastAsia" w:cs="思源黑体 CN Regular"/>
                <w:sz w:val="20"/>
                <w:szCs w:val="20"/>
              </w:rPr>
              <w:t>主控系统</w:t>
            </w:r>
          </w:p>
        </w:tc>
        <w:tc>
          <w:tcPr>
            <w:tcW w:w="1499" w:type="dxa"/>
            <w:vAlign w:val="center"/>
          </w:tcPr>
          <w:p>
            <w:pPr>
              <w:pStyle w:val="105"/>
              <w:adjustRightInd w:val="0"/>
              <w:snapToGrid w:val="0"/>
              <w:spacing w:line="240" w:lineRule="atLeast"/>
              <w:jc w:val="center"/>
              <w:rPr>
                <w:rFonts w:cs="思源黑体 CN Regular"/>
                <w:sz w:val="20"/>
                <w:szCs w:val="20"/>
              </w:rPr>
            </w:pPr>
            <w:r>
              <w:rPr>
                <w:rFonts w:hint="eastAsia" w:cs="思源黑体 CN Regular"/>
                <w:sz w:val="20"/>
                <w:szCs w:val="20"/>
              </w:rPr>
              <w:t>主控</w:t>
            </w:r>
          </w:p>
        </w:tc>
        <w:tc>
          <w:tcPr>
            <w:tcW w:w="3364" w:type="dxa"/>
            <w:vAlign w:val="bottom"/>
          </w:tcPr>
          <w:p>
            <w:pPr>
              <w:pStyle w:val="105"/>
              <w:adjustRightInd w:val="0"/>
              <w:snapToGrid w:val="0"/>
              <w:spacing w:line="240" w:lineRule="atLeast"/>
              <w:rPr>
                <w:rFonts w:cs="思源黑体 CN Regular"/>
                <w:sz w:val="20"/>
                <w:szCs w:val="20"/>
              </w:rPr>
            </w:pPr>
            <w:r>
              <w:rPr>
                <w:rFonts w:hint="eastAsia" w:cs="思源黑体 CN Regular"/>
                <w:sz w:val="20"/>
                <w:szCs w:val="20"/>
              </w:rPr>
              <w:t>处理器：高性能M7处理器ATSAMS70N20A-AN，STM32F030CCT6协处理器</w:t>
            </w:r>
          </w:p>
          <w:p>
            <w:pPr>
              <w:pStyle w:val="105"/>
              <w:adjustRightInd w:val="0"/>
              <w:snapToGrid w:val="0"/>
              <w:spacing w:line="240" w:lineRule="atLeast"/>
              <w:rPr>
                <w:rFonts w:cs="思源黑体 CN Regular"/>
                <w:sz w:val="20"/>
                <w:szCs w:val="20"/>
              </w:rPr>
            </w:pPr>
            <w:r>
              <w:rPr>
                <w:rFonts w:hint="eastAsia" w:cs="思源黑体 CN Regular"/>
                <w:sz w:val="20"/>
                <w:szCs w:val="20"/>
              </w:rPr>
              <w:t>工作电压：6V ~ 13V（若使用电机时，输入最低电压必须满足电机工作电压要求）</w:t>
            </w:r>
          </w:p>
          <w:p>
            <w:pPr>
              <w:pStyle w:val="105"/>
              <w:adjustRightInd w:val="0"/>
              <w:snapToGrid w:val="0"/>
              <w:spacing w:line="240" w:lineRule="atLeast"/>
              <w:rPr>
                <w:rFonts w:cs="思源黑体 CN Regular"/>
                <w:sz w:val="20"/>
                <w:szCs w:val="20"/>
              </w:rPr>
            </w:pPr>
            <w:r>
              <w:rPr>
                <w:rFonts w:hint="eastAsia" w:cs="思源黑体 CN Regular"/>
                <w:sz w:val="20"/>
                <w:szCs w:val="20"/>
              </w:rPr>
              <w:t>通讯端口及协议：串口/mBuild 协议</w:t>
            </w:r>
          </w:p>
        </w:tc>
        <w:tc>
          <w:tcPr>
            <w:tcW w:w="2019" w:type="dxa"/>
            <w:vAlign w:val="center"/>
          </w:tcPr>
          <w:p>
            <w:pPr>
              <w:pStyle w:val="105"/>
              <w:adjustRightInd w:val="0"/>
              <w:snapToGrid w:val="0"/>
              <w:spacing w:line="240" w:lineRule="atLeast"/>
              <w:jc w:val="center"/>
              <w:rPr>
                <w:rFonts w:cs="思源黑体 CN Regular"/>
                <w:sz w:val="20"/>
                <w:szCs w:val="20"/>
              </w:rPr>
            </w:pPr>
            <w:r>
              <w:rPr>
                <w:rFonts w:hint="eastAsia" w:cs="思源黑体 CN Regular"/>
                <w:sz w:val="20"/>
                <w:szCs w:val="20"/>
              </w:rPr>
              <w:t>同时可使用Raspberry Pi 3 Model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pStyle w:val="105"/>
              <w:adjustRightInd w:val="0"/>
              <w:snapToGrid w:val="0"/>
              <w:spacing w:line="240" w:lineRule="atLeast"/>
              <w:jc w:val="center"/>
              <w:rPr>
                <w:rFonts w:cs="思源黑体 CN Regular"/>
                <w:sz w:val="20"/>
                <w:szCs w:val="20"/>
              </w:rPr>
            </w:pPr>
            <w:r>
              <w:rPr>
                <w:rFonts w:hint="eastAsia" w:cs="思源黑体 CN Regular"/>
                <w:sz w:val="20"/>
                <w:szCs w:val="20"/>
              </w:rPr>
              <w:t>传感器系统</w:t>
            </w:r>
          </w:p>
        </w:tc>
        <w:tc>
          <w:tcPr>
            <w:tcW w:w="1499" w:type="dxa"/>
            <w:vAlign w:val="center"/>
          </w:tcPr>
          <w:p>
            <w:pPr>
              <w:pStyle w:val="105"/>
              <w:adjustRightInd w:val="0"/>
              <w:snapToGrid w:val="0"/>
              <w:spacing w:line="240" w:lineRule="atLeast"/>
              <w:jc w:val="center"/>
              <w:rPr>
                <w:rFonts w:cs="思源黑体 CN Regular"/>
                <w:sz w:val="20"/>
                <w:szCs w:val="20"/>
              </w:rPr>
            </w:pPr>
            <w:r>
              <w:rPr>
                <w:rFonts w:hint="eastAsia" w:cs="思源黑体 CN Regular"/>
                <w:sz w:val="20"/>
                <w:szCs w:val="20"/>
              </w:rPr>
              <w:t>视觉传感器</w:t>
            </w:r>
          </w:p>
        </w:tc>
        <w:tc>
          <w:tcPr>
            <w:tcW w:w="3364" w:type="dxa"/>
            <w:vAlign w:val="bottom"/>
          </w:tcPr>
          <w:p>
            <w:pPr>
              <w:pStyle w:val="105"/>
              <w:adjustRightInd w:val="0"/>
              <w:snapToGrid w:val="0"/>
              <w:spacing w:line="240" w:lineRule="atLeast"/>
              <w:rPr>
                <w:rFonts w:cs="思源黑体 CN Regular"/>
                <w:sz w:val="20"/>
                <w:szCs w:val="20"/>
              </w:rPr>
            </w:pPr>
            <w:r>
              <w:rPr>
                <w:rFonts w:hint="eastAsia" w:cs="思源黑体 CN Regular"/>
                <w:sz w:val="20"/>
                <w:szCs w:val="20"/>
              </w:rPr>
              <w:t>视场角：65.0度</w:t>
            </w:r>
          </w:p>
          <w:p>
            <w:pPr>
              <w:pStyle w:val="105"/>
              <w:adjustRightInd w:val="0"/>
              <w:snapToGrid w:val="0"/>
              <w:spacing w:line="240" w:lineRule="atLeast"/>
              <w:rPr>
                <w:rFonts w:cs="思源黑体 CN Regular"/>
                <w:sz w:val="20"/>
                <w:szCs w:val="20"/>
              </w:rPr>
            </w:pPr>
            <w:r>
              <w:rPr>
                <w:rFonts w:hint="eastAsia" w:cs="思源黑体 CN Regular"/>
                <w:sz w:val="20"/>
                <w:szCs w:val="20"/>
              </w:rPr>
              <w:t>有效焦距：4.65±5% mm</w:t>
            </w:r>
          </w:p>
          <w:p>
            <w:pPr>
              <w:pStyle w:val="105"/>
              <w:adjustRightInd w:val="0"/>
              <w:snapToGrid w:val="0"/>
              <w:spacing w:line="240" w:lineRule="atLeast"/>
              <w:rPr>
                <w:rFonts w:cs="思源黑体 CN Regular"/>
                <w:sz w:val="20"/>
                <w:szCs w:val="20"/>
              </w:rPr>
            </w:pPr>
            <w:r>
              <w:rPr>
                <w:rFonts w:hint="eastAsia" w:cs="思源黑体 CN Regular"/>
                <w:sz w:val="20"/>
                <w:szCs w:val="20"/>
              </w:rPr>
              <w:t>识别速度：60帧/s</w:t>
            </w:r>
          </w:p>
          <w:p>
            <w:pPr>
              <w:pStyle w:val="105"/>
              <w:adjustRightInd w:val="0"/>
              <w:snapToGrid w:val="0"/>
              <w:spacing w:line="240" w:lineRule="atLeast"/>
              <w:rPr>
                <w:rFonts w:cs="思源黑体 CN Regular"/>
                <w:sz w:val="20"/>
                <w:szCs w:val="20"/>
              </w:rPr>
            </w:pPr>
            <w:r>
              <w:rPr>
                <w:rFonts w:hint="eastAsia" w:cs="思源黑体 CN Regular"/>
                <w:sz w:val="20"/>
                <w:szCs w:val="20"/>
              </w:rPr>
              <w:t>识别距离：0.25-1.2m范围最佳</w:t>
            </w:r>
          </w:p>
          <w:p>
            <w:pPr>
              <w:pStyle w:val="105"/>
              <w:adjustRightInd w:val="0"/>
              <w:snapToGrid w:val="0"/>
              <w:spacing w:line="240" w:lineRule="atLeast"/>
              <w:rPr>
                <w:rFonts w:cs="思源黑体 CN Regular"/>
                <w:sz w:val="20"/>
                <w:szCs w:val="20"/>
              </w:rPr>
            </w:pPr>
            <w:r>
              <w:rPr>
                <w:rFonts w:hint="eastAsia" w:cs="思源黑体 CN Regular"/>
                <w:sz w:val="20"/>
                <w:szCs w:val="20"/>
              </w:rPr>
              <w:t>供电方式：3.7V锂电池 或 5V mBuild 电源模块</w:t>
            </w:r>
          </w:p>
          <w:p>
            <w:pPr>
              <w:pStyle w:val="105"/>
              <w:adjustRightInd w:val="0"/>
              <w:snapToGrid w:val="0"/>
              <w:spacing w:line="240" w:lineRule="atLeast"/>
              <w:rPr>
                <w:rFonts w:cs="思源黑体 CN Regular"/>
                <w:sz w:val="20"/>
                <w:szCs w:val="20"/>
              </w:rPr>
            </w:pPr>
            <w:r>
              <w:rPr>
                <w:rFonts w:hint="eastAsia" w:cs="思源黑体 CN Regular"/>
                <w:sz w:val="20"/>
                <w:szCs w:val="20"/>
              </w:rPr>
              <w:t>功耗范围：0.9-1.3W</w:t>
            </w:r>
          </w:p>
        </w:tc>
        <w:tc>
          <w:tcPr>
            <w:tcW w:w="2019" w:type="dxa"/>
            <w:vAlign w:val="center"/>
          </w:tcPr>
          <w:p>
            <w:pPr>
              <w:pStyle w:val="105"/>
              <w:adjustRightInd w:val="0"/>
              <w:snapToGrid w:val="0"/>
              <w:spacing w:line="240" w:lineRule="atLeast"/>
              <w:jc w:val="center"/>
              <w:rPr>
                <w:rFonts w:cs="思源黑体 CN Regular"/>
                <w:sz w:val="20"/>
                <w:szCs w:val="20"/>
              </w:rPr>
            </w:pPr>
            <w:r>
              <w:rPr>
                <w:rFonts w:hint="eastAsia" w:cs="思源黑体 CN Regular"/>
                <w:sz w:val="20"/>
                <w:szCs w:val="20"/>
              </w:rPr>
              <w:t>类型和数量不限</w:t>
            </w:r>
          </w:p>
          <w:p>
            <w:pPr>
              <w:pStyle w:val="105"/>
              <w:adjustRightInd w:val="0"/>
              <w:snapToGrid w:val="0"/>
              <w:spacing w:line="240" w:lineRule="atLeast"/>
              <w:jc w:val="center"/>
              <w:rPr>
                <w:rFonts w:cs="思源黑体 CN Regular"/>
                <w:sz w:val="20"/>
                <w:szCs w:val="20"/>
              </w:rPr>
            </w:pPr>
            <w:r>
              <w:rPr>
                <w:rFonts w:hint="eastAsia" w:cs="思源黑体 CN Regular"/>
                <w:sz w:val="20"/>
                <w:szCs w:val="20"/>
              </w:rPr>
              <w:t>机器人禁止使用任何可干扰到其它机器人感知能力的传感器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1414" w:type="dxa"/>
            <w:vAlign w:val="center"/>
          </w:tcPr>
          <w:p>
            <w:pPr>
              <w:widowControl/>
              <w:adjustRightInd w:val="0"/>
              <w:snapToGrid w:val="0"/>
              <w:spacing w:line="240" w:lineRule="atLeast"/>
              <w:jc w:val="center"/>
              <w:rPr>
                <w:rFonts w:cs="思源黑体 CN Regular"/>
                <w:szCs w:val="20"/>
              </w:rPr>
            </w:pPr>
            <w:r>
              <w:rPr>
                <w:rFonts w:hint="eastAsia" w:cs="思源黑体 CN Regular"/>
                <w:kern w:val="0"/>
                <w:szCs w:val="20"/>
                <w:lang w:bidi="ar"/>
              </w:rPr>
              <w:t>无线控制系统</w:t>
            </w:r>
          </w:p>
        </w:tc>
        <w:tc>
          <w:tcPr>
            <w:tcW w:w="1499" w:type="dxa"/>
            <w:vAlign w:val="center"/>
          </w:tcPr>
          <w:p>
            <w:pPr>
              <w:widowControl/>
              <w:adjustRightInd w:val="0"/>
              <w:snapToGrid w:val="0"/>
              <w:spacing w:line="240" w:lineRule="atLeast"/>
              <w:jc w:val="center"/>
              <w:rPr>
                <w:rFonts w:cs="思源黑体 CN Regular"/>
                <w:szCs w:val="20"/>
              </w:rPr>
            </w:pPr>
            <w:r>
              <w:rPr>
                <w:rFonts w:hint="eastAsia" w:cs="思源黑体 CN Regular"/>
                <w:kern w:val="0"/>
                <w:szCs w:val="20"/>
                <w:lang w:bidi="ar"/>
              </w:rPr>
              <w:t>蓝牙手柄</w:t>
            </w:r>
          </w:p>
        </w:tc>
        <w:tc>
          <w:tcPr>
            <w:tcW w:w="3364" w:type="dxa"/>
            <w:vAlign w:val="bottom"/>
          </w:tcPr>
          <w:p>
            <w:pPr>
              <w:widowControl/>
              <w:numPr>
                <w:ilvl w:val="0"/>
                <w:numId w:val="15"/>
              </w:numPr>
              <w:adjustRightInd w:val="0"/>
              <w:snapToGrid w:val="0"/>
              <w:spacing w:beforeAutospacing="1" w:afterAutospacing="1" w:line="240" w:lineRule="atLeast"/>
              <w:rPr>
                <w:rFonts w:cs="思源黑体 CN Regular"/>
                <w:szCs w:val="20"/>
              </w:rPr>
            </w:pPr>
            <w:r>
              <w:rPr>
                <w:rFonts w:hint="eastAsia" w:cs="思源黑体 CN Regular"/>
                <w:szCs w:val="20"/>
              </w:rPr>
              <w:t>蓝牙版本：支持4.0+</w:t>
            </w:r>
          </w:p>
          <w:p>
            <w:pPr>
              <w:widowControl/>
              <w:numPr>
                <w:ilvl w:val="0"/>
                <w:numId w:val="15"/>
              </w:numPr>
              <w:adjustRightInd w:val="0"/>
              <w:snapToGrid w:val="0"/>
              <w:spacing w:beforeAutospacing="1" w:afterAutospacing="1" w:line="240" w:lineRule="atLeast"/>
              <w:rPr>
                <w:rFonts w:cs="思源黑体 CN Regular"/>
                <w:szCs w:val="20"/>
              </w:rPr>
            </w:pPr>
            <w:r>
              <w:rPr>
                <w:rFonts w:hint="eastAsia" w:cs="思源黑体 CN Regular"/>
                <w:szCs w:val="20"/>
              </w:rPr>
              <w:t>传输距离：20m</w:t>
            </w:r>
          </w:p>
          <w:p>
            <w:pPr>
              <w:widowControl/>
              <w:numPr>
                <w:ilvl w:val="0"/>
                <w:numId w:val="15"/>
              </w:numPr>
              <w:adjustRightInd w:val="0"/>
              <w:snapToGrid w:val="0"/>
              <w:spacing w:beforeAutospacing="1" w:afterAutospacing="1" w:line="240" w:lineRule="atLeast"/>
              <w:rPr>
                <w:rFonts w:cs="思源黑体 CN Regular"/>
                <w:szCs w:val="20"/>
              </w:rPr>
            </w:pPr>
            <w:r>
              <w:rPr>
                <w:rFonts w:hint="eastAsia" w:cs="思源黑体 CN Regular"/>
                <w:szCs w:val="20"/>
              </w:rPr>
              <w:t>工作电流： ≤25mA</w:t>
            </w:r>
          </w:p>
          <w:p>
            <w:pPr>
              <w:widowControl/>
              <w:numPr>
                <w:ilvl w:val="0"/>
                <w:numId w:val="15"/>
              </w:numPr>
              <w:adjustRightInd w:val="0"/>
              <w:snapToGrid w:val="0"/>
              <w:spacing w:beforeAutospacing="1" w:afterAutospacing="1" w:line="240" w:lineRule="atLeast"/>
              <w:rPr>
                <w:rFonts w:cs="思源黑体 CN Regular"/>
                <w:szCs w:val="20"/>
              </w:rPr>
            </w:pPr>
            <w:r>
              <w:rPr>
                <w:rFonts w:hint="eastAsia" w:cs="思源黑体 CN Regular"/>
                <w:szCs w:val="20"/>
              </w:rPr>
              <w:t>发射功率：4dBm</w:t>
            </w:r>
          </w:p>
          <w:p>
            <w:pPr>
              <w:widowControl/>
              <w:numPr>
                <w:ilvl w:val="0"/>
                <w:numId w:val="15"/>
              </w:numPr>
              <w:adjustRightInd w:val="0"/>
              <w:snapToGrid w:val="0"/>
              <w:spacing w:beforeAutospacing="1" w:afterAutospacing="1" w:line="240" w:lineRule="atLeast"/>
              <w:rPr>
                <w:rFonts w:cs="思源黑体 CN Regular"/>
                <w:szCs w:val="20"/>
              </w:rPr>
            </w:pPr>
            <w:r>
              <w:rPr>
                <w:rFonts w:hint="eastAsia" w:cs="思源黑体 CN Regular"/>
                <w:szCs w:val="20"/>
              </w:rPr>
              <w:t>传输数据：100ms 之内数据包能够被蓝牙设备获取 (低延迟)</w:t>
            </w:r>
          </w:p>
          <w:p>
            <w:pPr>
              <w:widowControl/>
              <w:numPr>
                <w:ilvl w:val="0"/>
                <w:numId w:val="15"/>
              </w:numPr>
              <w:adjustRightInd w:val="0"/>
              <w:snapToGrid w:val="0"/>
              <w:spacing w:beforeAutospacing="1" w:afterAutospacing="1" w:line="240" w:lineRule="atLeast"/>
              <w:rPr>
                <w:rFonts w:cs="思源黑体 CN Regular"/>
                <w:szCs w:val="20"/>
              </w:rPr>
            </w:pPr>
            <w:r>
              <w:rPr>
                <w:rFonts w:hint="eastAsia" w:cs="思源黑体 CN Regular"/>
                <w:szCs w:val="20"/>
              </w:rPr>
              <w:t>电池：两节5号 AA 干电池</w:t>
            </w:r>
          </w:p>
          <w:p>
            <w:pPr>
              <w:widowControl/>
              <w:numPr>
                <w:ilvl w:val="0"/>
                <w:numId w:val="15"/>
              </w:numPr>
              <w:adjustRightInd w:val="0"/>
              <w:snapToGrid w:val="0"/>
              <w:spacing w:beforeAutospacing="1" w:afterAutospacing="1" w:line="240" w:lineRule="atLeast"/>
              <w:rPr>
                <w:rFonts w:cs="思源黑体 CN Regular"/>
                <w:szCs w:val="20"/>
              </w:rPr>
            </w:pPr>
            <w:r>
              <w:rPr>
                <w:rFonts w:hint="eastAsia" w:cs="思源黑体 CN Regular"/>
                <w:szCs w:val="20"/>
              </w:rPr>
              <w:t>支持平台：macOS / Windows</w:t>
            </w:r>
          </w:p>
        </w:tc>
        <w:tc>
          <w:tcPr>
            <w:tcW w:w="2019" w:type="dxa"/>
            <w:vAlign w:val="center"/>
          </w:tcPr>
          <w:p>
            <w:pPr>
              <w:widowControl/>
              <w:numPr>
                <w:ilvl w:val="0"/>
                <w:numId w:val="16"/>
              </w:numPr>
              <w:adjustRightInd w:val="0"/>
              <w:snapToGrid w:val="0"/>
              <w:spacing w:beforeAutospacing="1" w:afterAutospacing="1" w:line="240" w:lineRule="atLeast"/>
              <w:jc w:val="center"/>
              <w:rPr>
                <w:rFonts w:cs="思源黑体 CN Regular"/>
                <w:szCs w:val="20"/>
              </w:rPr>
            </w:pPr>
            <w:r>
              <w:rPr>
                <w:rFonts w:hint="eastAsia" w:cs="思源黑体 CN Regular"/>
                <w:szCs w:val="20"/>
              </w:rPr>
              <w:t>在比赛时，一个队伍仅能使用1台蓝牙手柄；</w:t>
            </w:r>
          </w:p>
          <w:p>
            <w:pPr>
              <w:widowControl/>
              <w:numPr>
                <w:ilvl w:val="0"/>
                <w:numId w:val="16"/>
              </w:numPr>
              <w:adjustRightInd w:val="0"/>
              <w:snapToGrid w:val="0"/>
              <w:spacing w:beforeAutospacing="1" w:afterAutospacing="1" w:line="240" w:lineRule="atLeast"/>
              <w:jc w:val="center"/>
              <w:rPr>
                <w:rFonts w:cs="思源黑体 CN Regular"/>
                <w:szCs w:val="20"/>
              </w:rPr>
            </w:pPr>
            <w:r>
              <w:rPr>
                <w:rFonts w:hint="eastAsia" w:cs="思源黑体 CN Regular"/>
                <w:szCs w:val="20"/>
              </w:rPr>
              <w:t>蓝牙模块须连接在Nova Pi主控上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tcPr>
          <w:p>
            <w:pPr>
              <w:pStyle w:val="36"/>
              <w:numPr>
                <w:ilvl w:val="0"/>
                <w:numId w:val="0"/>
              </w:numPr>
              <w:adjustRightInd w:val="0"/>
              <w:snapToGrid w:val="0"/>
              <w:spacing w:line="240" w:lineRule="atLeast"/>
              <w:jc w:val="center"/>
              <w:rPr>
                <w:rFonts w:ascii="思源黑体 CN Regular" w:hAnsi="思源黑体 CN Regular" w:eastAsia="思源黑体 CN Regular" w:cs="思源黑体 CN Regular"/>
                <w:sz w:val="20"/>
                <w:szCs w:val="20"/>
              </w:rPr>
            </w:pPr>
          </w:p>
        </w:tc>
        <w:tc>
          <w:tcPr>
            <w:tcW w:w="1499" w:type="dxa"/>
            <w:vAlign w:val="center"/>
          </w:tcPr>
          <w:p>
            <w:pPr>
              <w:widowControl/>
              <w:adjustRightInd w:val="0"/>
              <w:snapToGrid w:val="0"/>
              <w:spacing w:line="240" w:lineRule="atLeast"/>
              <w:jc w:val="center"/>
              <w:rPr>
                <w:rFonts w:cs="思源黑体 CN Regular"/>
                <w:szCs w:val="20"/>
              </w:rPr>
            </w:pPr>
            <w:r>
              <w:rPr>
                <w:rFonts w:hint="eastAsia" w:cs="思源黑体 CN Regular"/>
                <w:kern w:val="0"/>
                <w:szCs w:val="20"/>
                <w:lang w:bidi="ar"/>
              </w:rPr>
              <w:t>蓝牙模块</w:t>
            </w:r>
          </w:p>
        </w:tc>
        <w:tc>
          <w:tcPr>
            <w:tcW w:w="3364" w:type="dxa"/>
            <w:vAlign w:val="bottom"/>
          </w:tcPr>
          <w:p>
            <w:pPr>
              <w:widowControl/>
              <w:numPr>
                <w:ilvl w:val="0"/>
                <w:numId w:val="17"/>
              </w:numPr>
              <w:adjustRightInd w:val="0"/>
              <w:snapToGrid w:val="0"/>
              <w:spacing w:beforeAutospacing="1" w:afterAutospacing="1" w:line="240" w:lineRule="atLeast"/>
              <w:rPr>
                <w:rFonts w:cs="思源黑体 CN Regular"/>
                <w:szCs w:val="20"/>
              </w:rPr>
            </w:pPr>
            <w:r>
              <w:rPr>
                <w:rFonts w:hint="eastAsia" w:cs="思源黑体 CN Regular"/>
                <w:szCs w:val="20"/>
              </w:rPr>
              <w:t>蓝牙版本：BT4.0</w:t>
            </w:r>
          </w:p>
          <w:p>
            <w:pPr>
              <w:widowControl/>
              <w:numPr>
                <w:ilvl w:val="0"/>
                <w:numId w:val="17"/>
              </w:numPr>
              <w:adjustRightInd w:val="0"/>
              <w:snapToGrid w:val="0"/>
              <w:spacing w:beforeAutospacing="1" w:afterAutospacing="1" w:line="240" w:lineRule="atLeast"/>
              <w:rPr>
                <w:rFonts w:cs="思源黑体 CN Regular"/>
                <w:szCs w:val="20"/>
              </w:rPr>
            </w:pPr>
            <w:r>
              <w:rPr>
                <w:rFonts w:hint="eastAsia" w:cs="思源黑体 CN Regular"/>
                <w:szCs w:val="20"/>
              </w:rPr>
              <w:t>频带范围：2402~2480MHz</w:t>
            </w:r>
          </w:p>
          <w:p>
            <w:pPr>
              <w:widowControl/>
              <w:numPr>
                <w:ilvl w:val="0"/>
                <w:numId w:val="17"/>
              </w:numPr>
              <w:adjustRightInd w:val="0"/>
              <w:snapToGrid w:val="0"/>
              <w:spacing w:beforeAutospacing="1" w:afterAutospacing="1" w:line="240" w:lineRule="atLeast"/>
              <w:rPr>
                <w:rFonts w:cs="思源黑体 CN Regular"/>
                <w:szCs w:val="20"/>
              </w:rPr>
            </w:pPr>
            <w:r>
              <w:rPr>
                <w:rFonts w:hint="eastAsia" w:cs="思源黑体 CN Regular"/>
                <w:szCs w:val="20"/>
              </w:rPr>
              <w:t>天线增益：1.5dBi</w:t>
            </w:r>
          </w:p>
          <w:p>
            <w:pPr>
              <w:widowControl/>
              <w:numPr>
                <w:ilvl w:val="0"/>
                <w:numId w:val="17"/>
              </w:numPr>
              <w:adjustRightInd w:val="0"/>
              <w:snapToGrid w:val="0"/>
              <w:spacing w:beforeAutospacing="1" w:afterAutospacing="1" w:line="240" w:lineRule="atLeast"/>
              <w:rPr>
                <w:rFonts w:cs="思源黑体 CN Regular"/>
                <w:szCs w:val="20"/>
              </w:rPr>
            </w:pPr>
            <w:r>
              <w:rPr>
                <w:rFonts w:hint="eastAsia" w:cs="思源黑体 CN Regular"/>
                <w:szCs w:val="20"/>
              </w:rPr>
              <w:t>能耗等级：≤4dBm</w:t>
            </w:r>
          </w:p>
          <w:p>
            <w:pPr>
              <w:widowControl/>
              <w:numPr>
                <w:ilvl w:val="0"/>
                <w:numId w:val="17"/>
              </w:numPr>
              <w:adjustRightInd w:val="0"/>
              <w:snapToGrid w:val="0"/>
              <w:spacing w:beforeAutospacing="1" w:afterAutospacing="1" w:line="240" w:lineRule="atLeast"/>
              <w:rPr>
                <w:rFonts w:cs="思源黑体 CN Regular"/>
                <w:szCs w:val="20"/>
              </w:rPr>
            </w:pPr>
            <w:r>
              <w:rPr>
                <w:rFonts w:hint="eastAsia" w:cs="思源黑体 CN Regular"/>
                <w:szCs w:val="20"/>
              </w:rPr>
              <w:t>工作电流：15mA</w:t>
            </w:r>
          </w:p>
        </w:tc>
        <w:tc>
          <w:tcPr>
            <w:tcW w:w="2019" w:type="dxa"/>
            <w:vAlign w:val="center"/>
          </w:tcPr>
          <w:p>
            <w:pPr>
              <w:widowControl/>
              <w:adjustRightInd w:val="0"/>
              <w:snapToGrid w:val="0"/>
              <w:spacing w:line="240" w:lineRule="atLeast"/>
              <w:jc w:val="center"/>
              <w:rPr>
                <w:rFonts w:cs="思源黑体 CN Regular"/>
                <w:szCs w:val="20"/>
              </w:rPr>
            </w:pPr>
            <w:r>
              <w:rPr>
                <w:rFonts w:hint="eastAsia" w:cs="思源黑体 CN Regular"/>
                <w:kern w:val="0"/>
                <w:szCs w:val="20"/>
                <w:lang w:bidi="ar"/>
              </w:rPr>
              <w:t>禁止使用除官方配备的蓝牙手柄以外任何形式的无线控制与机器人进行通信，包括但不限于任何人为触发的传感器</w:t>
            </w:r>
          </w:p>
        </w:tc>
      </w:tr>
    </w:tbl>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 xml:space="preserve">除电机及主控本身自带的蜂鸣器除外，机器人不允许使用任何电子发声器件。除符合技术规范的主控与传感器的自带指示灯光、配合传感器使用的光源和符合技术规范的激光瞄准装置外，机器人不得加装其他光源。 </w:t>
      </w:r>
    </w:p>
    <w:p>
      <w:pPr>
        <w:pStyle w:val="47"/>
        <w:adjustRightInd w:val="0"/>
        <w:snapToGrid w:val="0"/>
        <w:spacing w:line="360" w:lineRule="auto"/>
        <w:rPr>
          <w:rFonts w:ascii="宋体" w:hAnsi="宋体" w:eastAsia="宋体"/>
          <w:color w:val="auto"/>
          <w:sz w:val="21"/>
          <w:szCs w:val="18"/>
        </w:rPr>
      </w:pPr>
      <w:r>
        <w:rPr>
          <w:rFonts w:ascii="宋体" w:hAnsi="宋体" w:eastAsia="宋体"/>
          <w:color w:val="auto"/>
          <w:sz w:val="21"/>
          <w:szCs w:val="18"/>
        </w:rPr>
        <w:t>参赛</w:t>
      </w:r>
      <w:r>
        <w:rPr>
          <w:rFonts w:hint="eastAsia" w:ascii="宋体" w:hAnsi="宋体" w:eastAsia="宋体"/>
          <w:color w:val="auto"/>
          <w:sz w:val="21"/>
          <w:szCs w:val="18"/>
        </w:rPr>
        <w:t>队伍</w:t>
      </w:r>
      <w:r>
        <w:rPr>
          <w:rFonts w:ascii="宋体" w:hAnsi="宋体" w:eastAsia="宋体"/>
          <w:color w:val="auto"/>
          <w:sz w:val="21"/>
          <w:szCs w:val="18"/>
        </w:rPr>
        <w:t>可自行定制或采购机械零件。可以使用低集成度的完整商业产品组件，如：铰链、链轮和滚子链、滑轮等。不允许使用高集成度的完整商业产品，包括但不限于多自由度机械臂或机械手等。</w:t>
      </w:r>
    </w:p>
    <w:p>
      <w:pPr>
        <w:pStyle w:val="4"/>
        <w:keepNext w:val="0"/>
        <w:keepLines w:val="0"/>
        <w:tabs>
          <w:tab w:val="left" w:pos="668"/>
        </w:tabs>
        <w:autoSpaceDE w:val="0"/>
        <w:autoSpaceDN w:val="0"/>
        <w:spacing w:before="0" w:line="360" w:lineRule="auto"/>
        <w:ind w:left="360"/>
        <w:jc w:val="left"/>
        <w:rPr>
          <w:rFonts w:ascii="宋体" w:hAnsi="宋体" w:eastAsia="宋体" w:cs="宋体"/>
          <w:b/>
          <w:bCs/>
          <w:color w:val="000000" w:themeColor="text1"/>
          <w:kern w:val="0"/>
          <w:lang w:val="zh-CN" w:bidi="zh-CN"/>
          <w14:textFill>
            <w14:solidFill>
              <w14:schemeClr w14:val="tx1"/>
            </w14:solidFill>
          </w14:textFill>
        </w:rPr>
      </w:pPr>
      <w:bookmarkStart w:id="42" w:name="_Toc24228"/>
      <w:bookmarkStart w:id="43" w:name="_Toc124809419_WPSOffice_Level2"/>
      <w:bookmarkStart w:id="44" w:name="_Toc447064019"/>
      <w:r>
        <w:rPr>
          <w:rFonts w:hint="eastAsia" w:ascii="宋体" w:hAnsi="宋体" w:eastAsia="宋体" w:cs="宋体"/>
          <w:b/>
          <w:bCs/>
          <w:color w:val="000000" w:themeColor="text1"/>
          <w:kern w:val="0"/>
          <w:lang w:val="zh-CN" w:bidi="zh-CN"/>
          <w14:textFill>
            <w14:solidFill>
              <w14:schemeClr w14:val="tx1"/>
            </w14:solidFill>
          </w14:textFill>
        </w:rPr>
        <w:t>5</w:t>
      </w:r>
      <w:r>
        <w:rPr>
          <w:rFonts w:ascii="宋体" w:hAnsi="宋体" w:eastAsia="宋体" w:cs="宋体"/>
          <w:b/>
          <w:bCs/>
          <w:color w:val="000000" w:themeColor="text1"/>
          <w:kern w:val="0"/>
          <w:lang w:val="zh-CN" w:bidi="zh-CN"/>
          <w14:textFill>
            <w14:solidFill>
              <w14:schemeClr w14:val="tx1"/>
            </w14:solidFill>
          </w14:textFill>
        </w:rPr>
        <w:t xml:space="preserve">.2 </w:t>
      </w:r>
      <w:r>
        <w:rPr>
          <w:rFonts w:hint="eastAsia" w:ascii="宋体" w:hAnsi="宋体" w:eastAsia="宋体" w:cs="宋体"/>
          <w:b/>
          <w:bCs/>
          <w:color w:val="000000" w:themeColor="text1"/>
          <w:kern w:val="0"/>
          <w:lang w:val="zh-CN" w:bidi="zh-CN"/>
          <w14:textFill>
            <w14:solidFill>
              <w14:schemeClr w14:val="tx1"/>
            </w14:solidFill>
          </w14:textFill>
        </w:rPr>
        <w:t>队旗制作规范</w:t>
      </w:r>
      <w:bookmarkEnd w:id="42"/>
      <w:bookmarkEnd w:id="43"/>
      <w:bookmarkEnd w:id="44"/>
    </w:p>
    <w:p>
      <w:pPr>
        <w:pStyle w:val="35"/>
        <w:adjustRightInd w:val="0"/>
        <w:snapToGrid w:val="0"/>
        <w:spacing w:line="360" w:lineRule="auto"/>
        <w:ind w:firstLine="480"/>
        <w:rPr>
          <w:rFonts w:ascii="宋体" w:hAnsi="宋体" w:eastAsia="宋体"/>
          <w:sz w:val="21"/>
          <w:szCs w:val="18"/>
        </w:rPr>
      </w:pPr>
      <w:r>
        <w:rPr>
          <w:rFonts w:hint="eastAsia" w:ascii="宋体" w:hAnsi="宋体" w:eastAsia="宋体"/>
          <w:sz w:val="21"/>
          <w:szCs w:val="18"/>
        </w:rPr>
        <w:t>队旗须由旗帜、悬挂组件组成。旗帜须为柔性材料制作，旗帜挂绳采用柔性材料,尺寸不小于400mm（长）*300mm（宽），在比赛过程中必须处于展开状态。队旗文字要求为参赛学校全称（</w:t>
      </w:r>
      <w:r>
        <w:rPr>
          <w:rFonts w:ascii="宋体" w:hAnsi="宋体" w:eastAsia="宋体"/>
          <w:sz w:val="21"/>
          <w:szCs w:val="18"/>
        </w:rPr>
        <w:t>1</w:t>
      </w:r>
      <w:r>
        <w:rPr>
          <w:rFonts w:hint="eastAsia" w:ascii="宋体" w:hAnsi="宋体" w:eastAsia="宋体"/>
          <w:sz w:val="21"/>
          <w:szCs w:val="18"/>
        </w:rPr>
        <w:t>队、2队）。</w:t>
      </w:r>
    </w:p>
    <w:p>
      <w:pPr>
        <w:pStyle w:val="35"/>
        <w:adjustRightInd w:val="0"/>
        <w:snapToGrid w:val="0"/>
        <w:spacing w:line="240" w:lineRule="atLeast"/>
        <w:ind w:left="851"/>
        <w:jc w:val="center"/>
      </w:pPr>
      <w:r>
        <w:rPr>
          <w:rFonts w:hint="eastAsia"/>
        </w:rPr>
        <w:drawing>
          <wp:inline distT="0" distB="0" distL="114300" distR="114300">
            <wp:extent cx="2241550" cy="2047875"/>
            <wp:effectExtent l="0" t="0" r="19050" b="0"/>
            <wp:docPr id="32" name="图片 32" descr="E:\我的坚果云\A3-MakeX_设计文件_2022\A1-2022赛事规则配图\A2-2022赛季MakeX Challenge能源革新\编辑文件\4x\资源 123@4x.png资源 123@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我的坚果云\A3-MakeX_设计文件_2022\A1-2022赛事规则配图\A2-2022赛季MakeX Challenge能源革新\编辑文件\4x\资源 123@4x.png资源 123@4x"/>
                    <pic:cNvPicPr>
                      <a:picLocks noChangeAspect="1"/>
                    </pic:cNvPicPr>
                  </pic:nvPicPr>
                  <pic:blipFill>
                    <a:blip r:embed="rId35"/>
                    <a:srcRect/>
                    <a:stretch>
                      <a:fillRect/>
                    </a:stretch>
                  </pic:blipFill>
                  <pic:spPr>
                    <a:xfrm>
                      <a:off x="0" y="0"/>
                      <a:ext cx="2241550" cy="2047875"/>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bookmarkStart w:id="45" w:name="_Toc49"/>
      <w:r>
        <w:rPr>
          <w:rFonts w:ascii="微软雅黑" w:hAnsi="微软雅黑" w:eastAsia="微软雅黑" w:cs="微软雅黑"/>
          <w:sz w:val="18"/>
          <w:szCs w:val="15"/>
        </w:rPr>
        <w:t>队旗制作尺寸图</w:t>
      </w:r>
      <w:bookmarkEnd w:id="45"/>
    </w:p>
    <w:p>
      <w:pPr>
        <w:pStyle w:val="28"/>
        <w:numPr>
          <w:ilvl w:val="0"/>
          <w:numId w:val="18"/>
        </w:numPr>
        <w:adjustRightInd w:val="0"/>
        <w:snapToGrid w:val="0"/>
        <w:spacing w:line="360" w:lineRule="auto"/>
        <w:ind w:left="840" w:firstLine="420"/>
        <w:rPr>
          <w:rFonts w:ascii="宋体" w:hAnsi="宋体" w:eastAsia="宋体"/>
          <w:sz w:val="21"/>
          <w:szCs w:val="18"/>
        </w:rPr>
      </w:pPr>
      <w:r>
        <w:rPr>
          <w:rFonts w:ascii="宋体" w:hAnsi="宋体" w:eastAsia="宋体"/>
          <w:sz w:val="21"/>
          <w:szCs w:val="18"/>
        </w:rPr>
        <w:t>旗帜必须</w:t>
      </w:r>
      <w:r>
        <w:rPr>
          <w:rFonts w:hint="eastAsia" w:ascii="宋体" w:hAnsi="宋体" w:eastAsia="宋体"/>
          <w:sz w:val="21"/>
          <w:szCs w:val="18"/>
        </w:rPr>
        <w:t>符合比赛规则要求方可使用</w:t>
      </w:r>
      <w:r>
        <w:rPr>
          <w:rFonts w:ascii="宋体" w:hAnsi="宋体" w:eastAsia="宋体"/>
          <w:sz w:val="21"/>
          <w:szCs w:val="18"/>
        </w:rPr>
        <w:t xml:space="preserve">。 </w:t>
      </w:r>
    </w:p>
    <w:p>
      <w:pPr>
        <w:pStyle w:val="28"/>
        <w:numPr>
          <w:ilvl w:val="0"/>
          <w:numId w:val="18"/>
        </w:numPr>
        <w:adjustRightInd w:val="0"/>
        <w:snapToGrid w:val="0"/>
        <w:spacing w:line="360" w:lineRule="auto"/>
        <w:ind w:left="840" w:firstLine="420"/>
        <w:rPr>
          <w:rFonts w:ascii="宋体" w:hAnsi="宋体" w:eastAsia="宋体"/>
          <w:sz w:val="21"/>
          <w:szCs w:val="18"/>
        </w:rPr>
      </w:pPr>
      <w:r>
        <w:rPr>
          <w:rFonts w:ascii="宋体" w:hAnsi="宋体" w:eastAsia="宋体"/>
          <w:sz w:val="21"/>
          <w:szCs w:val="18"/>
        </w:rPr>
        <w:t xml:space="preserve">每支队伍最多可使用一面旗帜。 </w:t>
      </w:r>
    </w:p>
    <w:p>
      <w:pPr>
        <w:pStyle w:val="28"/>
        <w:numPr>
          <w:ilvl w:val="0"/>
          <w:numId w:val="18"/>
        </w:numPr>
        <w:adjustRightInd w:val="0"/>
        <w:snapToGrid w:val="0"/>
        <w:spacing w:line="360" w:lineRule="auto"/>
        <w:ind w:left="840" w:firstLine="420"/>
        <w:rPr>
          <w:rFonts w:ascii="宋体" w:hAnsi="宋体" w:eastAsia="宋体"/>
          <w:sz w:val="21"/>
          <w:szCs w:val="18"/>
        </w:rPr>
      </w:pPr>
      <w:r>
        <w:rPr>
          <w:rFonts w:hint="eastAsia" w:ascii="宋体" w:hAnsi="宋体" w:eastAsia="宋体"/>
          <w:sz w:val="21"/>
          <w:szCs w:val="18"/>
          <w:lang w:eastAsia="zh-Hans"/>
        </w:rPr>
        <w:t>组委会</w:t>
      </w:r>
      <w:r>
        <w:rPr>
          <w:rFonts w:hint="eastAsia" w:ascii="宋体" w:hAnsi="宋体" w:eastAsia="宋体"/>
          <w:sz w:val="21"/>
          <w:szCs w:val="18"/>
        </w:rPr>
        <w:t>鼓励参赛队在旗帜上绘制个性化的图案</w:t>
      </w:r>
      <w:r>
        <w:rPr>
          <w:rFonts w:hint="eastAsia" w:ascii="宋体" w:hAnsi="宋体" w:eastAsia="宋体" w:cs="宋体"/>
          <w:sz w:val="21"/>
          <w:szCs w:val="18"/>
        </w:rPr>
        <w:t>和</w:t>
      </w:r>
      <w:r>
        <w:rPr>
          <w:rFonts w:hint="eastAsia" w:ascii="宋体" w:hAnsi="宋体" w:eastAsia="宋体"/>
          <w:sz w:val="21"/>
          <w:szCs w:val="18"/>
        </w:rPr>
        <w:t>文字（队旗文字要求为参赛学校全称。</w:t>
      </w:r>
      <w:bookmarkStart w:id="46" w:name="_Toc2405"/>
      <w:bookmarkStart w:id="47" w:name="_Toc1907170127"/>
      <w:r>
        <w:rPr>
          <w:rFonts w:hint="eastAsia" w:ascii="宋体" w:hAnsi="宋体" w:eastAsia="宋体"/>
          <w:sz w:val="21"/>
          <w:szCs w:val="18"/>
        </w:rPr>
        <w:t>）</w:t>
      </w:r>
    </w:p>
    <w:p>
      <w:pPr>
        <w:pStyle w:val="3"/>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bookmarkStart w:id="48" w:name="_Toc720146061_WPSOffice_Level1"/>
      <w:r>
        <w:rPr>
          <w:rFonts w:hint="eastAsia" w:ascii="宋体" w:hAnsi="宋体" w:eastAsia="宋体" w:cs="宋体"/>
          <w:color w:val="000000" w:themeColor="text1"/>
          <w:kern w:val="0"/>
          <w:sz w:val="28"/>
          <w:szCs w:val="28"/>
          <w:lang w:val="zh-CN" w:bidi="zh-CN"/>
          <w14:textFill>
            <w14:solidFill>
              <w14:schemeClr w14:val="tx1"/>
            </w14:solidFill>
          </w14:textFill>
        </w:rPr>
        <w:t>6</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比赛规则</w:t>
      </w:r>
      <w:bookmarkEnd w:id="46"/>
      <w:bookmarkEnd w:id="47"/>
      <w:bookmarkEnd w:id="48"/>
    </w:p>
    <w:p>
      <w:pPr>
        <w:pStyle w:val="4"/>
        <w:keepNext w:val="0"/>
        <w:keepLines w:val="0"/>
        <w:tabs>
          <w:tab w:val="left" w:pos="668"/>
        </w:tabs>
        <w:autoSpaceDE w:val="0"/>
        <w:autoSpaceDN w:val="0"/>
        <w:spacing w:before="0" w:line="360" w:lineRule="auto"/>
        <w:ind w:left="360"/>
        <w:jc w:val="left"/>
        <w:rPr>
          <w:rFonts w:ascii="宋体" w:hAnsi="宋体" w:eastAsia="宋体" w:cs="宋体"/>
          <w:b/>
          <w:bCs/>
          <w:color w:val="000000" w:themeColor="text1"/>
          <w:kern w:val="0"/>
          <w:lang w:val="zh-CN" w:bidi="zh-CN"/>
          <w14:textFill>
            <w14:solidFill>
              <w14:schemeClr w14:val="tx1"/>
            </w14:solidFill>
          </w14:textFill>
        </w:rPr>
      </w:pPr>
      <w:bookmarkStart w:id="49" w:name="_Toc467409367"/>
      <w:bookmarkStart w:id="50" w:name="_Toc8425"/>
      <w:bookmarkStart w:id="51" w:name="_Toc1727865661_WPSOffice_Level2"/>
      <w:r>
        <w:rPr>
          <w:rFonts w:hint="eastAsia" w:ascii="宋体" w:hAnsi="宋体" w:eastAsia="宋体" w:cs="宋体"/>
          <w:b/>
          <w:bCs/>
          <w:color w:val="000000" w:themeColor="text1"/>
          <w:kern w:val="0"/>
          <w:lang w:val="zh-CN" w:bidi="zh-CN"/>
          <w14:textFill>
            <w14:solidFill>
              <w14:schemeClr w14:val="tx1"/>
            </w14:solidFill>
          </w14:textFill>
        </w:rPr>
        <w:t>6</w:t>
      </w:r>
      <w:r>
        <w:rPr>
          <w:rFonts w:ascii="宋体" w:hAnsi="宋体" w:eastAsia="宋体" w:cs="宋体"/>
          <w:b/>
          <w:bCs/>
          <w:color w:val="000000" w:themeColor="text1"/>
          <w:kern w:val="0"/>
          <w:lang w:val="zh-CN" w:bidi="zh-CN"/>
          <w14:textFill>
            <w14:solidFill>
              <w14:schemeClr w14:val="tx1"/>
            </w14:solidFill>
          </w14:textFill>
        </w:rPr>
        <w:t xml:space="preserve">.1 </w:t>
      </w:r>
      <w:r>
        <w:rPr>
          <w:rFonts w:hint="eastAsia" w:ascii="宋体" w:hAnsi="宋体" w:eastAsia="宋体" w:cs="宋体"/>
          <w:b/>
          <w:bCs/>
          <w:color w:val="000000" w:themeColor="text1"/>
          <w:kern w:val="0"/>
          <w:lang w:val="zh-CN" w:bidi="zh-CN"/>
          <w14:textFill>
            <w14:solidFill>
              <w14:schemeClr w14:val="tx1"/>
            </w14:solidFill>
          </w14:textFill>
        </w:rPr>
        <w:t>判罚说明</w:t>
      </w:r>
      <w:bookmarkEnd w:id="49"/>
      <w:bookmarkEnd w:id="50"/>
      <w:bookmarkEnd w:id="51"/>
    </w:p>
    <w:p>
      <w:pPr>
        <w:pStyle w:val="72"/>
        <w:adjustRightInd w:val="0"/>
        <w:snapToGrid w:val="0"/>
        <w:spacing w:line="360" w:lineRule="auto"/>
        <w:rPr>
          <w:rFonts w:ascii="宋体" w:hAnsi="宋体" w:eastAsia="宋体"/>
          <w:sz w:val="21"/>
          <w:szCs w:val="18"/>
        </w:rPr>
      </w:pPr>
      <w:r>
        <w:rPr>
          <w:rFonts w:hint="eastAsia" w:ascii="宋体" w:hAnsi="宋体" w:eastAsia="宋体"/>
          <w:sz w:val="21"/>
          <w:szCs w:val="18"/>
        </w:rPr>
        <w:t xml:space="preserve">口头警告 </w:t>
      </w:r>
    </w:p>
    <w:p>
      <w:pPr>
        <w:pStyle w:val="100"/>
        <w:adjustRightInd w:val="0"/>
        <w:snapToGrid w:val="0"/>
        <w:spacing w:line="360" w:lineRule="auto"/>
        <w:ind w:firstLine="420"/>
        <w:rPr>
          <w:rFonts w:ascii="宋体" w:hAnsi="宋体" w:eastAsia="宋体"/>
          <w:sz w:val="21"/>
          <w:szCs w:val="21"/>
        </w:rPr>
      </w:pPr>
      <w:r>
        <w:rPr>
          <w:rFonts w:ascii="宋体" w:hAnsi="宋体" w:eastAsia="宋体"/>
          <w:sz w:val="21"/>
          <w:szCs w:val="21"/>
        </w:rPr>
        <w:t>裁判对参赛</w:t>
      </w:r>
      <w:r>
        <w:rPr>
          <w:rFonts w:hint="eastAsia" w:ascii="宋体" w:hAnsi="宋体" w:eastAsia="宋体" w:cs="微软雅黑"/>
          <w:sz w:val="21"/>
          <w:szCs w:val="21"/>
        </w:rPr>
        <w:t>队伍</w:t>
      </w:r>
      <w:r>
        <w:rPr>
          <w:rFonts w:ascii="宋体" w:hAnsi="宋体" w:eastAsia="宋体"/>
          <w:sz w:val="21"/>
          <w:szCs w:val="21"/>
        </w:rPr>
        <w:t>发出口头警告，要求参赛</w:t>
      </w:r>
      <w:r>
        <w:rPr>
          <w:rFonts w:hint="eastAsia" w:ascii="宋体" w:hAnsi="宋体" w:eastAsia="宋体" w:cs="微软雅黑"/>
          <w:sz w:val="21"/>
          <w:szCs w:val="21"/>
        </w:rPr>
        <w:t>队伍</w:t>
      </w:r>
      <w:r>
        <w:rPr>
          <w:rFonts w:ascii="宋体" w:hAnsi="宋体" w:eastAsia="宋体"/>
          <w:sz w:val="21"/>
          <w:szCs w:val="21"/>
        </w:rPr>
        <w:t>立即停止违反规则的行为，并服从裁判指示。</w:t>
      </w:r>
      <w:r>
        <w:rPr>
          <w:rFonts w:hint="eastAsia" w:ascii="宋体" w:hAnsi="宋体" w:eastAsia="宋体"/>
          <w:sz w:val="21"/>
          <w:szCs w:val="21"/>
        </w:rPr>
        <w:t>单场比赛仅有一次被口头警告的机会。</w:t>
      </w:r>
      <w:r>
        <w:rPr>
          <w:rFonts w:ascii="宋体" w:hAnsi="宋体" w:eastAsia="宋体"/>
          <w:sz w:val="21"/>
          <w:szCs w:val="21"/>
        </w:rPr>
        <w:t xml:space="preserve">在此期间，不会扣分，比赛计时也不会停止。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违例 </w:t>
      </w:r>
    </w:p>
    <w:p>
      <w:pPr>
        <w:pStyle w:val="100"/>
        <w:adjustRightInd w:val="0"/>
        <w:snapToGrid w:val="0"/>
        <w:spacing w:line="360" w:lineRule="auto"/>
        <w:ind w:firstLine="420"/>
        <w:rPr>
          <w:rFonts w:ascii="宋体" w:hAnsi="宋体" w:eastAsia="宋体"/>
          <w:sz w:val="21"/>
          <w:szCs w:val="21"/>
        </w:rPr>
      </w:pPr>
      <w:r>
        <w:rPr>
          <w:rFonts w:ascii="宋体" w:hAnsi="宋体" w:eastAsia="宋体"/>
          <w:sz w:val="21"/>
          <w:szCs w:val="21"/>
        </w:rPr>
        <w:t xml:space="preserve">裁判对参赛队发出违例判罚，立即扣除该方联盟20分，比赛计时不会停止。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禁用 </w:t>
      </w:r>
    </w:p>
    <w:p>
      <w:pPr>
        <w:pStyle w:val="100"/>
        <w:adjustRightInd w:val="0"/>
        <w:snapToGrid w:val="0"/>
        <w:spacing w:line="360" w:lineRule="auto"/>
        <w:ind w:firstLine="420"/>
        <w:rPr>
          <w:rFonts w:ascii="宋体" w:hAnsi="宋体" w:eastAsia="宋体"/>
          <w:sz w:val="21"/>
          <w:szCs w:val="21"/>
        </w:rPr>
      </w:pPr>
      <w:r>
        <w:rPr>
          <w:rFonts w:ascii="宋体" w:hAnsi="宋体" w:eastAsia="宋体"/>
          <w:sz w:val="21"/>
          <w:szCs w:val="21"/>
        </w:rPr>
        <w:t xml:space="preserve">裁判对机器人发出禁用指令，要求该机器人立刻停止行动。裁判有权根据实际情况判断是否要将被禁用的机器人移出场外。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在机器人故障、失控等情况发生时，参赛选手亦可以主动向裁判提出禁用机器人。 </w:t>
      </w:r>
    </w:p>
    <w:p>
      <w:pPr>
        <w:pStyle w:val="72"/>
        <w:adjustRightInd w:val="0"/>
        <w:snapToGrid w:val="0"/>
        <w:spacing w:line="360" w:lineRule="auto"/>
        <w:rPr>
          <w:rFonts w:ascii="宋体" w:hAnsi="宋体" w:eastAsia="宋体"/>
          <w:b w:val="0"/>
          <w:szCs w:val="24"/>
        </w:rPr>
      </w:pPr>
      <w:r>
        <w:rPr>
          <w:rFonts w:hint="eastAsia" w:ascii="宋体" w:hAnsi="宋体" w:eastAsia="宋体"/>
          <w:szCs w:val="24"/>
        </w:rPr>
        <w:t>黄牌</w:t>
      </w:r>
      <w:r>
        <w:rPr>
          <w:rFonts w:ascii="宋体" w:hAnsi="宋体" w:eastAsia="宋体"/>
          <w:b w:val="0"/>
          <w:szCs w:val="24"/>
        </w:rPr>
        <w:t xml:space="preserve"> </w:t>
      </w:r>
    </w:p>
    <w:p>
      <w:pPr>
        <w:pStyle w:val="100"/>
        <w:adjustRightInd w:val="0"/>
        <w:snapToGrid w:val="0"/>
        <w:spacing w:line="360" w:lineRule="auto"/>
        <w:ind w:firstLine="420"/>
        <w:rPr>
          <w:rFonts w:ascii="宋体" w:hAnsi="宋体" w:eastAsia="宋体"/>
          <w:sz w:val="21"/>
          <w:szCs w:val="21"/>
        </w:rPr>
      </w:pPr>
      <w:r>
        <w:rPr>
          <w:rFonts w:ascii="宋体" w:hAnsi="宋体" w:eastAsia="宋体"/>
          <w:sz w:val="21"/>
          <w:szCs w:val="21"/>
        </w:rPr>
        <w:t xml:space="preserve">若某方相关人员的行为对当场比赛的公平性造成较为严重影响或违反安全原则，将受到扣除当场得分60分的处罚。 </w:t>
      </w:r>
    </w:p>
    <w:p>
      <w:pPr>
        <w:pStyle w:val="28"/>
        <w:adjustRightInd w:val="0"/>
        <w:snapToGrid w:val="0"/>
        <w:spacing w:line="360" w:lineRule="auto"/>
        <w:ind w:firstLine="420" w:firstLineChars="0"/>
        <w:rPr>
          <w:rFonts w:ascii="宋体" w:hAnsi="宋体" w:eastAsia="宋体"/>
          <w:sz w:val="21"/>
        </w:rPr>
      </w:pPr>
      <w:r>
        <w:rPr>
          <w:rFonts w:ascii="宋体" w:hAnsi="宋体" w:eastAsia="宋体"/>
          <w:sz w:val="21"/>
        </w:rPr>
        <w:t xml:space="preserve">黄牌处罚累计说明： </w:t>
      </w:r>
    </w:p>
    <w:p>
      <w:pPr>
        <w:pStyle w:val="28"/>
        <w:adjustRightInd w:val="0"/>
        <w:snapToGrid w:val="0"/>
        <w:spacing w:line="360" w:lineRule="auto"/>
        <w:ind w:firstLine="420" w:firstLineChars="0"/>
        <w:rPr>
          <w:rFonts w:ascii="宋体" w:hAnsi="宋体" w:eastAsia="宋体"/>
          <w:sz w:val="21"/>
        </w:rPr>
      </w:pPr>
      <w:r>
        <w:rPr>
          <w:rFonts w:ascii="宋体" w:hAnsi="宋体" w:eastAsia="宋体"/>
          <w:sz w:val="21"/>
        </w:rPr>
        <w:t xml:space="preserve">黄牌处罚累计以次数为单位，累计两张黄牌处罚升级为红牌，资格排位赛阶段结束后清零。 </w:t>
      </w:r>
    </w:p>
    <w:p>
      <w:pPr>
        <w:pStyle w:val="28"/>
        <w:adjustRightInd w:val="0"/>
        <w:snapToGrid w:val="0"/>
        <w:spacing w:line="360" w:lineRule="auto"/>
        <w:ind w:firstLine="420" w:firstLineChars="0"/>
        <w:rPr>
          <w:rFonts w:ascii="宋体" w:hAnsi="宋体" w:eastAsia="宋体"/>
          <w:sz w:val="21"/>
        </w:rPr>
      </w:pPr>
      <w:r>
        <w:rPr>
          <w:rFonts w:hint="eastAsia" w:ascii="宋体" w:hAnsi="宋体" w:eastAsia="宋体"/>
          <w:sz w:val="21"/>
        </w:rPr>
        <w:t>某队伍</w:t>
      </w:r>
      <w:r>
        <w:rPr>
          <w:rFonts w:ascii="宋体" w:hAnsi="宋体" w:eastAsia="宋体"/>
          <w:sz w:val="21"/>
        </w:rPr>
        <w:t>收到黄牌后，扣除当场比赛该</w:t>
      </w:r>
      <w:r>
        <w:rPr>
          <w:rFonts w:hint="eastAsia" w:ascii="宋体" w:hAnsi="宋体" w:eastAsia="宋体"/>
          <w:sz w:val="21"/>
        </w:rPr>
        <w:t>队伍</w:t>
      </w:r>
      <w:r>
        <w:rPr>
          <w:rFonts w:ascii="宋体" w:hAnsi="宋体" w:eastAsia="宋体"/>
          <w:sz w:val="21"/>
        </w:rPr>
        <w:t xml:space="preserve">所处联盟60分。 </w:t>
      </w:r>
    </w:p>
    <w:p>
      <w:pPr>
        <w:pStyle w:val="28"/>
        <w:adjustRightInd w:val="0"/>
        <w:snapToGrid w:val="0"/>
        <w:spacing w:line="360" w:lineRule="auto"/>
        <w:ind w:firstLine="420"/>
        <w:rPr>
          <w:rFonts w:ascii="宋体" w:hAnsi="宋体" w:eastAsia="宋体"/>
          <w:sz w:val="21"/>
        </w:rPr>
      </w:pPr>
      <w:r>
        <w:rPr>
          <w:rFonts w:ascii="宋体" w:hAnsi="宋体" w:eastAsia="宋体"/>
          <w:sz w:val="21"/>
        </w:rPr>
        <w:t>资格排位赛阶段，黄牌以</w:t>
      </w:r>
      <w:r>
        <w:rPr>
          <w:rFonts w:hint="eastAsia" w:ascii="宋体" w:hAnsi="宋体" w:eastAsia="宋体"/>
          <w:sz w:val="21"/>
        </w:rPr>
        <w:t>队伍</w:t>
      </w:r>
      <w:r>
        <w:rPr>
          <w:rFonts w:ascii="宋体" w:hAnsi="宋体" w:eastAsia="宋体"/>
          <w:sz w:val="21"/>
        </w:rPr>
        <w:t>为单位累计，淘汰赛阶段，黄牌以联盟为单位累计。</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红牌 </w:t>
      </w:r>
    </w:p>
    <w:p>
      <w:pPr>
        <w:pStyle w:val="100"/>
        <w:adjustRightInd w:val="0"/>
        <w:snapToGrid w:val="0"/>
        <w:spacing w:line="360" w:lineRule="auto"/>
        <w:ind w:firstLine="420"/>
        <w:rPr>
          <w:rFonts w:ascii="宋体" w:hAnsi="宋体" w:eastAsia="宋体"/>
          <w:sz w:val="21"/>
          <w:szCs w:val="21"/>
        </w:rPr>
      </w:pPr>
      <w:r>
        <w:rPr>
          <w:rFonts w:ascii="宋体" w:hAnsi="宋体" w:eastAsia="宋体"/>
          <w:sz w:val="21"/>
          <w:szCs w:val="21"/>
        </w:rPr>
        <w:t>指某方或相关人员的行为对当场比赛的公平性造成严重影响或严重违反安全原则的行为，将受到扣除当场联盟得分120分的处罚，同时</w:t>
      </w:r>
      <w:r>
        <w:rPr>
          <w:rFonts w:hint="eastAsia" w:ascii="宋体" w:hAnsi="宋体" w:eastAsia="宋体"/>
          <w:sz w:val="21"/>
          <w:szCs w:val="21"/>
          <w:lang w:eastAsia="zh-Hans"/>
        </w:rPr>
        <w:t>犯规</w:t>
      </w:r>
      <w:r>
        <w:rPr>
          <w:rFonts w:hint="eastAsia" w:ascii="宋体" w:hAnsi="宋体" w:eastAsia="宋体" w:cs="微软雅黑"/>
          <w:sz w:val="21"/>
          <w:szCs w:val="21"/>
          <w:lang w:eastAsia="zh-Hans"/>
        </w:rPr>
        <w:t>队伍</w:t>
      </w:r>
      <w:r>
        <w:rPr>
          <w:rFonts w:hint="eastAsia" w:ascii="宋体" w:hAnsi="宋体" w:eastAsia="宋体"/>
          <w:sz w:val="21"/>
          <w:szCs w:val="21"/>
          <w:lang w:eastAsia="zh-Hans"/>
        </w:rPr>
        <w:t>的</w:t>
      </w:r>
      <w:r>
        <w:rPr>
          <w:rFonts w:ascii="宋体" w:hAnsi="宋体" w:eastAsia="宋体"/>
          <w:sz w:val="21"/>
          <w:szCs w:val="21"/>
        </w:rPr>
        <w:t>机器人将被禁用。如在自动控制阶段受到红牌处罚，自动阶段结束后应将</w:t>
      </w:r>
      <w:r>
        <w:rPr>
          <w:rFonts w:hint="eastAsia" w:ascii="宋体" w:hAnsi="宋体" w:eastAsia="宋体"/>
          <w:sz w:val="21"/>
          <w:szCs w:val="21"/>
          <w:lang w:eastAsia="zh-Hans"/>
        </w:rPr>
        <w:t>犯规</w:t>
      </w:r>
      <w:r>
        <w:rPr>
          <w:rFonts w:hint="eastAsia" w:ascii="宋体" w:hAnsi="宋体" w:eastAsia="宋体" w:cs="微软雅黑"/>
          <w:sz w:val="21"/>
          <w:szCs w:val="21"/>
          <w:lang w:eastAsia="zh-Hans"/>
        </w:rPr>
        <w:t>队伍</w:t>
      </w:r>
      <w:r>
        <w:rPr>
          <w:rFonts w:ascii="宋体" w:hAnsi="宋体" w:eastAsia="宋体"/>
          <w:sz w:val="21"/>
          <w:szCs w:val="21"/>
        </w:rPr>
        <w:t xml:space="preserve">机器人移出比赛场地。 </w:t>
      </w:r>
    </w:p>
    <w:p>
      <w:pPr>
        <w:pStyle w:val="28"/>
        <w:adjustRightInd w:val="0"/>
        <w:snapToGrid w:val="0"/>
        <w:spacing w:line="360" w:lineRule="auto"/>
        <w:ind w:firstLine="420" w:firstLineChars="0"/>
        <w:rPr>
          <w:rFonts w:ascii="宋体" w:hAnsi="宋体" w:eastAsia="宋体"/>
          <w:sz w:val="21"/>
        </w:rPr>
      </w:pPr>
      <w:r>
        <w:rPr>
          <w:rFonts w:ascii="宋体" w:hAnsi="宋体" w:eastAsia="宋体"/>
          <w:sz w:val="21"/>
        </w:rPr>
        <w:t xml:space="preserve">红牌处罚说明： </w:t>
      </w:r>
    </w:p>
    <w:p>
      <w:pPr>
        <w:pStyle w:val="28"/>
        <w:adjustRightInd w:val="0"/>
        <w:snapToGrid w:val="0"/>
        <w:spacing w:line="360" w:lineRule="auto"/>
        <w:ind w:firstLine="420" w:firstLineChars="0"/>
        <w:rPr>
          <w:rFonts w:ascii="宋体" w:hAnsi="宋体" w:eastAsia="宋体"/>
          <w:sz w:val="21"/>
        </w:rPr>
      </w:pPr>
      <w:r>
        <w:rPr>
          <w:rFonts w:ascii="宋体" w:hAnsi="宋体" w:eastAsia="宋体"/>
          <w:sz w:val="21"/>
        </w:rPr>
        <w:t>资格排位赛：以</w:t>
      </w:r>
      <w:r>
        <w:rPr>
          <w:rFonts w:hint="eastAsia" w:ascii="宋体" w:hAnsi="宋体" w:eastAsia="宋体"/>
          <w:sz w:val="21"/>
        </w:rPr>
        <w:t>队伍</w:t>
      </w:r>
      <w:r>
        <w:rPr>
          <w:rFonts w:ascii="宋体" w:hAnsi="宋体" w:eastAsia="宋体"/>
          <w:sz w:val="21"/>
        </w:rPr>
        <w:t>为单位，联盟中某</w:t>
      </w:r>
      <w:r>
        <w:rPr>
          <w:rFonts w:hint="eastAsia" w:ascii="宋体" w:hAnsi="宋体" w:eastAsia="宋体"/>
          <w:sz w:val="21"/>
        </w:rPr>
        <w:t>队伍</w:t>
      </w:r>
      <w:r>
        <w:rPr>
          <w:rFonts w:ascii="宋体" w:hAnsi="宋体" w:eastAsia="宋体"/>
          <w:sz w:val="21"/>
        </w:rPr>
        <w:t>收到红牌处罚，此</w:t>
      </w:r>
      <w:r>
        <w:rPr>
          <w:rFonts w:hint="eastAsia" w:ascii="宋体" w:hAnsi="宋体" w:eastAsia="宋体"/>
          <w:sz w:val="21"/>
        </w:rPr>
        <w:t>队伍</w:t>
      </w:r>
      <w:r>
        <w:rPr>
          <w:rFonts w:ascii="宋体" w:hAnsi="宋体" w:eastAsia="宋体"/>
          <w:sz w:val="21"/>
        </w:rPr>
        <w:t>机器人禁用并且扣除联盟120分，比赛继续。联盟两支</w:t>
      </w:r>
      <w:r>
        <w:rPr>
          <w:rFonts w:hint="eastAsia" w:ascii="宋体" w:hAnsi="宋体" w:eastAsia="宋体"/>
          <w:sz w:val="21"/>
        </w:rPr>
        <w:t>队伍</w:t>
      </w:r>
      <w:r>
        <w:rPr>
          <w:rFonts w:ascii="宋体" w:hAnsi="宋体" w:eastAsia="宋体"/>
          <w:sz w:val="21"/>
        </w:rPr>
        <w:t xml:space="preserve">同时获得红牌处罚，该联盟扣分后直接判负。（获胜方增加分数至高于判负方10分） </w:t>
      </w:r>
    </w:p>
    <w:p>
      <w:pPr>
        <w:pStyle w:val="28"/>
        <w:adjustRightInd w:val="0"/>
        <w:snapToGrid w:val="0"/>
        <w:spacing w:line="360" w:lineRule="auto"/>
        <w:ind w:firstLine="420" w:firstLineChars="0"/>
        <w:rPr>
          <w:rFonts w:ascii="宋体" w:hAnsi="宋体" w:eastAsia="宋体"/>
          <w:sz w:val="21"/>
        </w:rPr>
      </w:pPr>
      <w:r>
        <w:rPr>
          <w:rFonts w:ascii="宋体" w:hAnsi="宋体" w:eastAsia="宋体"/>
          <w:sz w:val="21"/>
        </w:rPr>
        <w:t>淘汰赛阶段：以联盟为单位，某联盟收到红牌处罚，该场比赛直接判负。（获胜方增加分数至高于判负方10分）</w:t>
      </w:r>
      <w:r>
        <w:rPr>
          <w:rFonts w:ascii="宋体" w:hAnsi="宋体" w:eastAsia="宋体" w:cs="宋体"/>
          <w:kern w:val="0"/>
          <w:sz w:val="21"/>
          <w:lang w:bidi="ar"/>
        </w:rPr>
        <w:t xml:space="preserve"> </w:t>
      </w:r>
    </w:p>
    <w:p>
      <w:pPr>
        <w:pStyle w:val="72"/>
        <w:adjustRightInd w:val="0"/>
        <w:snapToGrid w:val="0"/>
        <w:spacing w:line="360" w:lineRule="auto"/>
        <w:rPr>
          <w:rFonts w:ascii="宋体" w:hAnsi="宋体" w:eastAsia="宋体"/>
          <w:sz w:val="21"/>
        </w:rPr>
      </w:pPr>
      <w:r>
        <w:rPr>
          <w:rFonts w:hint="eastAsia" w:ascii="宋体" w:hAnsi="宋体" w:eastAsia="宋体"/>
          <w:sz w:val="21"/>
        </w:rPr>
        <w:t>取消比赛成绩：</w:t>
      </w:r>
      <w:r>
        <w:rPr>
          <w:rFonts w:ascii="宋体" w:hAnsi="宋体" w:eastAsia="宋体"/>
          <w:sz w:val="21"/>
        </w:rPr>
        <w:t xml:space="preserve"> </w:t>
      </w:r>
    </w:p>
    <w:p>
      <w:pPr>
        <w:pStyle w:val="100"/>
        <w:adjustRightInd w:val="0"/>
        <w:snapToGrid w:val="0"/>
        <w:spacing w:line="360" w:lineRule="auto"/>
        <w:ind w:firstLine="420"/>
        <w:rPr>
          <w:rFonts w:ascii="宋体" w:hAnsi="宋体" w:eastAsia="宋体"/>
          <w:sz w:val="21"/>
          <w:szCs w:val="21"/>
        </w:rPr>
      </w:pPr>
      <w:r>
        <w:rPr>
          <w:rFonts w:ascii="宋体" w:hAnsi="宋体" w:eastAsia="宋体"/>
          <w:sz w:val="21"/>
          <w:szCs w:val="21"/>
        </w:rPr>
        <w:t>裁判取消参赛队的比赛资格。</w:t>
      </w:r>
      <w:r>
        <w:rPr>
          <w:rFonts w:hint="eastAsia" w:ascii="宋体" w:hAnsi="宋体" w:eastAsia="宋体" w:cs="微软雅黑"/>
          <w:sz w:val="21"/>
          <w:szCs w:val="21"/>
        </w:rPr>
        <w:t>队伍</w:t>
      </w:r>
      <w:r>
        <w:rPr>
          <w:rFonts w:ascii="宋体" w:hAnsi="宋体" w:eastAsia="宋体"/>
          <w:sz w:val="21"/>
          <w:szCs w:val="21"/>
        </w:rPr>
        <w:t>的机器人立即被禁用，</w:t>
      </w:r>
      <w:r>
        <w:rPr>
          <w:rFonts w:hint="eastAsia" w:ascii="宋体" w:hAnsi="宋体" w:eastAsia="宋体" w:cs="微软雅黑"/>
          <w:sz w:val="21"/>
          <w:szCs w:val="21"/>
        </w:rPr>
        <w:t>队伍</w:t>
      </w:r>
      <w:r>
        <w:rPr>
          <w:rFonts w:ascii="宋体" w:hAnsi="宋体" w:eastAsia="宋体"/>
          <w:sz w:val="21"/>
          <w:szCs w:val="21"/>
        </w:rPr>
        <w:t>不得继续参与该场比赛或下一场比赛。若一方联盟的两个</w:t>
      </w:r>
      <w:r>
        <w:rPr>
          <w:rFonts w:hint="eastAsia" w:ascii="宋体" w:hAnsi="宋体" w:eastAsia="宋体" w:cs="微软雅黑"/>
          <w:sz w:val="21"/>
          <w:szCs w:val="21"/>
        </w:rPr>
        <w:t>队伍</w:t>
      </w:r>
      <w:r>
        <w:rPr>
          <w:rFonts w:ascii="宋体" w:hAnsi="宋体" w:eastAsia="宋体"/>
          <w:sz w:val="21"/>
          <w:szCs w:val="21"/>
        </w:rPr>
        <w:t>均被取消比赛资格，则该联盟被判负，得分计为零分，另一方联盟立即获得比赛胜利，当前得分即为最终得分。</w:t>
      </w:r>
    </w:p>
    <w:p>
      <w:pPr>
        <w:pStyle w:val="4"/>
        <w:keepNext w:val="0"/>
        <w:keepLines w:val="0"/>
        <w:tabs>
          <w:tab w:val="left" w:pos="668"/>
        </w:tabs>
        <w:autoSpaceDE w:val="0"/>
        <w:autoSpaceDN w:val="0"/>
        <w:spacing w:before="0" w:line="360" w:lineRule="auto"/>
        <w:ind w:left="360"/>
        <w:jc w:val="left"/>
        <w:rPr>
          <w:rFonts w:ascii="宋体" w:hAnsi="宋体" w:eastAsia="宋体" w:cs="宋体"/>
          <w:b/>
          <w:bCs/>
          <w:color w:val="000000" w:themeColor="text1"/>
          <w:kern w:val="0"/>
          <w:lang w:val="zh-CN" w:bidi="zh-CN"/>
          <w14:textFill>
            <w14:solidFill>
              <w14:schemeClr w14:val="tx1"/>
            </w14:solidFill>
          </w14:textFill>
        </w:rPr>
      </w:pPr>
      <w:bookmarkStart w:id="52" w:name="_Toc17719"/>
      <w:bookmarkStart w:id="53" w:name="_Toc254050443"/>
      <w:bookmarkStart w:id="54" w:name="_Toc1964289693_WPSOffice_Level2"/>
      <w:r>
        <w:rPr>
          <w:rFonts w:hint="eastAsia" w:ascii="宋体" w:hAnsi="宋体" w:eastAsia="宋体" w:cs="宋体"/>
          <w:b/>
          <w:bCs/>
          <w:color w:val="000000" w:themeColor="text1"/>
          <w:kern w:val="0"/>
          <w:lang w:val="zh-CN" w:bidi="zh-CN"/>
          <w14:textFill>
            <w14:solidFill>
              <w14:schemeClr w14:val="tx1"/>
            </w14:solidFill>
          </w14:textFill>
        </w:rPr>
        <w:t>6</w:t>
      </w:r>
      <w:r>
        <w:rPr>
          <w:rFonts w:ascii="宋体" w:hAnsi="宋体" w:eastAsia="宋体" w:cs="宋体"/>
          <w:b/>
          <w:bCs/>
          <w:color w:val="000000" w:themeColor="text1"/>
          <w:kern w:val="0"/>
          <w:lang w:val="zh-CN" w:bidi="zh-CN"/>
          <w14:textFill>
            <w14:solidFill>
              <w14:schemeClr w14:val="tx1"/>
            </w14:solidFill>
          </w14:textFill>
        </w:rPr>
        <w:t xml:space="preserve">.2 </w:t>
      </w:r>
      <w:r>
        <w:rPr>
          <w:rFonts w:hint="eastAsia" w:ascii="宋体" w:hAnsi="宋体" w:eastAsia="宋体" w:cs="宋体"/>
          <w:b/>
          <w:bCs/>
          <w:color w:val="000000" w:themeColor="text1"/>
          <w:kern w:val="0"/>
          <w:lang w:val="zh-CN" w:bidi="zh-CN"/>
          <w14:textFill>
            <w14:solidFill>
              <w14:schemeClr w14:val="tx1"/>
            </w14:solidFill>
          </w14:textFill>
        </w:rPr>
        <w:t>操作规则</w:t>
      </w:r>
      <w:bookmarkEnd w:id="52"/>
      <w:bookmarkEnd w:id="53"/>
      <w:bookmarkEnd w:id="54"/>
    </w:p>
    <w:p>
      <w:pPr>
        <w:pStyle w:val="72"/>
        <w:adjustRightInd w:val="0"/>
        <w:snapToGrid w:val="0"/>
        <w:spacing w:line="360" w:lineRule="auto"/>
        <w:rPr>
          <w:rFonts w:ascii="宋体" w:hAnsi="宋体" w:eastAsia="宋体"/>
          <w:sz w:val="21"/>
        </w:rPr>
      </w:pPr>
      <w:r>
        <w:rPr>
          <w:rFonts w:hint="eastAsia" w:ascii="宋体" w:hAnsi="宋体" w:eastAsia="宋体"/>
          <w:sz w:val="21"/>
        </w:rPr>
        <w:t>危险结构</w:t>
      </w:r>
    </w:p>
    <w:p>
      <w:pPr>
        <w:pStyle w:val="96"/>
        <w:adjustRightInd w:val="0"/>
        <w:snapToGrid w:val="0"/>
        <w:spacing w:line="360" w:lineRule="auto"/>
        <w:ind w:firstLine="420"/>
        <w:rPr>
          <w:rFonts w:ascii="宋体" w:hAnsi="宋体" w:eastAsia="宋体"/>
          <w:sz w:val="21"/>
          <w:szCs w:val="21"/>
        </w:rPr>
      </w:pPr>
      <w:r>
        <w:rPr>
          <w:rFonts w:hint="eastAsia" w:ascii="宋体" w:hAnsi="宋体" w:eastAsia="宋体"/>
          <w:sz w:val="21"/>
          <w:szCs w:val="21"/>
        </w:rPr>
        <w:t>若机器人存在可能对人体造成伤害的结构，如锐利的尖角等 ，则必须对其采取安全保护措施</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犯规机器人将被判警告，选手需要对机器人进行整改，否则机器人将被禁用。</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破坏或污染场地 </w:t>
      </w:r>
    </w:p>
    <w:p>
      <w:pPr>
        <w:pStyle w:val="96"/>
        <w:adjustRightInd w:val="0"/>
        <w:snapToGrid w:val="0"/>
        <w:spacing w:line="360" w:lineRule="auto"/>
        <w:ind w:firstLine="420"/>
        <w:rPr>
          <w:rFonts w:ascii="宋体" w:hAnsi="宋体" w:eastAsia="宋体"/>
          <w:sz w:val="21"/>
          <w:szCs w:val="21"/>
        </w:rPr>
      </w:pPr>
      <w:r>
        <w:rPr>
          <w:rFonts w:hint="eastAsia" w:ascii="宋体" w:hAnsi="宋体" w:eastAsia="宋体"/>
          <w:sz w:val="21"/>
          <w:szCs w:val="21"/>
          <w14:scene3d w14:prst="orthographicFront">
            <w14:lightRig w14:rig="threePt" w14:dir="t">
              <w14:rot w14:lat="0" w14:lon="0" w14:rev="0"/>
            </w14:lightRig>
          </w14:scene3d>
        </w:rPr>
        <w:t>比赛</w:t>
      </w:r>
      <w:r>
        <w:rPr>
          <w:rFonts w:hint="eastAsia" w:ascii="宋体" w:hAnsi="宋体" w:eastAsia="宋体"/>
          <w:sz w:val="21"/>
          <w:szCs w:val="21"/>
        </w:rPr>
        <w:t xml:space="preserve">期间，机器人不得恶意“攀爬”或“冲撞”场地边界和中央隔栏。 </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犯规方机器人将被判</w:t>
      </w:r>
      <w:r>
        <w:rPr>
          <w:rFonts w:hint="eastAsia" w:ascii="宋体" w:hAnsi="宋体" w:eastAsia="宋体"/>
          <w:sz w:val="21"/>
          <w:lang w:eastAsia="zh-Hans"/>
        </w:rPr>
        <w:t>当场比赛</w:t>
      </w:r>
      <w:r>
        <w:rPr>
          <w:rFonts w:hint="eastAsia" w:ascii="宋体" w:hAnsi="宋体" w:eastAsia="宋体"/>
          <w:sz w:val="21"/>
        </w:rPr>
        <w:t>禁用</w:t>
      </w:r>
      <w:r>
        <w:rPr>
          <w:rFonts w:ascii="宋体" w:hAnsi="宋体" w:eastAsia="宋体"/>
          <w:sz w:val="21"/>
        </w:rPr>
        <w:t>，</w:t>
      </w:r>
      <w:r>
        <w:rPr>
          <w:rFonts w:hint="eastAsia" w:ascii="宋体" w:hAnsi="宋体" w:eastAsia="宋体"/>
          <w:sz w:val="21"/>
        </w:rPr>
        <w:t xml:space="preserve">两次违规将被判取消比赛资格。 </w:t>
      </w:r>
    </w:p>
    <w:p>
      <w:pPr>
        <w:pStyle w:val="96"/>
        <w:adjustRightInd w:val="0"/>
        <w:snapToGrid w:val="0"/>
        <w:spacing w:line="360" w:lineRule="auto"/>
        <w:ind w:firstLine="420"/>
        <w:rPr>
          <w:rStyle w:val="40"/>
          <w:rFonts w:ascii="宋体" w:hAnsi="宋体" w:eastAsia="宋体"/>
          <w:sz w:val="21"/>
        </w:rPr>
      </w:pPr>
      <w:r>
        <w:rPr>
          <w:rStyle w:val="40"/>
          <w:rFonts w:hint="eastAsia" w:ascii="宋体" w:hAnsi="宋体" w:eastAsia="宋体"/>
          <w:sz w:val="21"/>
        </w:rPr>
        <w:t>若场地被机器人污染，则机器人将被判定为不安全状态。比赛全程中机器人不得使用双面胶或胶水等固着场地元素。</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犯规方机器人</w:t>
      </w:r>
      <w:r>
        <w:rPr>
          <w:rFonts w:hint="eastAsia" w:ascii="宋体" w:hAnsi="宋体" w:eastAsia="宋体"/>
          <w:sz w:val="21"/>
          <w:lang w:eastAsia="zh-Hans"/>
        </w:rPr>
        <w:t>将被判当场比赛禁用</w:t>
      </w:r>
      <w:r>
        <w:rPr>
          <w:rFonts w:ascii="宋体" w:hAnsi="宋体" w:eastAsia="宋体"/>
          <w:sz w:val="21"/>
          <w:lang w:eastAsia="zh-Hans"/>
        </w:rPr>
        <w:t>，</w:t>
      </w:r>
      <w:r>
        <w:rPr>
          <w:rFonts w:hint="eastAsia" w:ascii="宋体" w:hAnsi="宋体" w:eastAsia="宋体"/>
          <w:sz w:val="21"/>
          <w:lang w:eastAsia="zh-Hans"/>
        </w:rPr>
        <w:t>如果机器人还要参加比赛</w:t>
      </w:r>
      <w:r>
        <w:rPr>
          <w:rFonts w:ascii="宋体" w:hAnsi="宋体" w:eastAsia="宋体"/>
          <w:sz w:val="21"/>
          <w:lang w:eastAsia="zh-Hans"/>
        </w:rPr>
        <w:t>，</w:t>
      </w:r>
      <w:r>
        <w:rPr>
          <w:rFonts w:hint="eastAsia" w:ascii="宋体" w:hAnsi="宋体" w:eastAsia="宋体"/>
          <w:sz w:val="21"/>
          <w:lang w:eastAsia="zh-Hans"/>
        </w:rPr>
        <w:t>选手需要对机器人</w:t>
      </w:r>
      <w:r>
        <w:rPr>
          <w:rFonts w:hint="eastAsia" w:ascii="宋体" w:hAnsi="宋体" w:eastAsia="宋体"/>
          <w:sz w:val="21"/>
        </w:rPr>
        <w:t>进行整改，并接受再次检查。两次违规将被判取消比赛资格。</w:t>
      </w:r>
    </w:p>
    <w:p>
      <w:pPr>
        <w:pStyle w:val="72"/>
        <w:adjustRightInd w:val="0"/>
        <w:snapToGrid w:val="0"/>
        <w:spacing w:line="360" w:lineRule="auto"/>
        <w:rPr>
          <w:rFonts w:ascii="宋体" w:hAnsi="宋体" w:eastAsia="宋体"/>
          <w:sz w:val="21"/>
        </w:rPr>
      </w:pPr>
      <w:r>
        <w:rPr>
          <w:rFonts w:hint="eastAsia" w:ascii="宋体" w:hAnsi="宋体" w:eastAsia="宋体"/>
          <w:sz w:val="21"/>
        </w:rPr>
        <w:t>破坏其它机器人</w:t>
      </w:r>
    </w:p>
    <w:p>
      <w:pPr>
        <w:pStyle w:val="96"/>
        <w:adjustRightInd w:val="0"/>
        <w:snapToGrid w:val="0"/>
        <w:spacing w:line="360" w:lineRule="auto"/>
        <w:ind w:firstLine="420"/>
        <w:rPr>
          <w:rFonts w:ascii="宋体" w:hAnsi="宋体" w:eastAsia="宋体"/>
          <w:sz w:val="21"/>
          <w:szCs w:val="21"/>
        </w:rPr>
      </w:pPr>
      <w:r>
        <w:rPr>
          <w:rStyle w:val="40"/>
          <w:rFonts w:hint="eastAsia" w:ascii="宋体" w:hAnsi="宋体" w:eastAsia="宋体"/>
          <w:sz w:val="21"/>
          <w:lang w:val="en-US"/>
        </w:rPr>
        <w:t xml:space="preserve">比赛期间，机器人不得冲撞比赛场地上的其他机器人。 </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犯规方机器人将被判当场比赛禁用</w:t>
      </w:r>
      <w:r>
        <w:rPr>
          <w:rFonts w:ascii="宋体" w:hAnsi="宋体" w:eastAsia="宋体"/>
          <w:sz w:val="21"/>
        </w:rPr>
        <w:t>，</w:t>
      </w:r>
      <w:r>
        <w:rPr>
          <w:rFonts w:hint="eastAsia" w:ascii="宋体" w:hAnsi="宋体" w:eastAsia="宋体"/>
          <w:sz w:val="21"/>
        </w:rPr>
        <w:t>两次违规将被判取消比赛资格。</w:t>
      </w:r>
    </w:p>
    <w:p>
      <w:pPr>
        <w:pStyle w:val="72"/>
        <w:adjustRightInd w:val="0"/>
        <w:snapToGrid w:val="0"/>
        <w:spacing w:line="360" w:lineRule="auto"/>
        <w:rPr>
          <w:rFonts w:ascii="宋体" w:hAnsi="宋体" w:eastAsia="宋体"/>
          <w:sz w:val="21"/>
        </w:rPr>
      </w:pPr>
      <w:r>
        <w:rPr>
          <w:rFonts w:hint="eastAsia" w:ascii="宋体" w:hAnsi="宋体" w:eastAsia="宋体"/>
          <w:sz w:val="21"/>
        </w:rPr>
        <w:t>机器人出界</w:t>
      </w:r>
    </w:p>
    <w:p>
      <w:pPr>
        <w:pStyle w:val="96"/>
        <w:adjustRightInd w:val="0"/>
        <w:snapToGrid w:val="0"/>
        <w:spacing w:line="360" w:lineRule="auto"/>
        <w:ind w:firstLine="420"/>
        <w:rPr>
          <w:rStyle w:val="40"/>
          <w:rFonts w:ascii="宋体" w:hAnsi="宋体" w:eastAsia="宋体"/>
          <w:sz w:val="21"/>
        </w:rPr>
      </w:pPr>
      <w:r>
        <w:rPr>
          <w:rStyle w:val="40"/>
          <w:rFonts w:hint="eastAsia" w:ascii="宋体" w:hAnsi="宋体" w:eastAsia="宋体"/>
          <w:sz w:val="21"/>
        </w:rPr>
        <w:t>比赛过程中，机器人的任何部分均不得超出场地边界。</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如果出现机器人接触比赛边界之外的地面及物体，则该机器人被判</w:t>
      </w:r>
      <w:r>
        <w:rPr>
          <w:rFonts w:hint="eastAsia" w:ascii="宋体" w:hAnsi="宋体" w:eastAsia="宋体"/>
          <w:sz w:val="21"/>
          <w:lang w:eastAsia="zh-Hans"/>
        </w:rPr>
        <w:t>当场比赛</w:t>
      </w:r>
      <w:r>
        <w:rPr>
          <w:rFonts w:hint="eastAsia" w:ascii="宋体" w:hAnsi="宋体" w:eastAsia="宋体"/>
          <w:sz w:val="21"/>
        </w:rPr>
        <w:t>禁用，两次违规将被判取消比赛资格。</w:t>
      </w:r>
    </w:p>
    <w:p>
      <w:pPr>
        <w:pStyle w:val="72"/>
        <w:adjustRightInd w:val="0"/>
        <w:snapToGrid w:val="0"/>
        <w:spacing w:line="360" w:lineRule="auto"/>
        <w:rPr>
          <w:rFonts w:ascii="宋体" w:hAnsi="宋体" w:eastAsia="宋体"/>
          <w:sz w:val="21"/>
        </w:rPr>
      </w:pPr>
      <w:r>
        <w:rPr>
          <w:rFonts w:hint="eastAsia" w:ascii="宋体" w:hAnsi="宋体" w:eastAsia="宋体"/>
          <w:sz w:val="21"/>
        </w:rPr>
        <w:t>使用违规材料</w:t>
      </w:r>
    </w:p>
    <w:p>
      <w:pPr>
        <w:pStyle w:val="96"/>
        <w:adjustRightInd w:val="0"/>
        <w:snapToGrid w:val="0"/>
        <w:spacing w:line="360" w:lineRule="auto"/>
        <w:ind w:firstLine="420"/>
        <w:rPr>
          <w:rFonts w:ascii="宋体" w:hAnsi="宋体" w:eastAsia="宋体"/>
          <w:sz w:val="21"/>
          <w:szCs w:val="21"/>
        </w:rPr>
      </w:pPr>
      <w:r>
        <w:rPr>
          <w:rFonts w:hint="eastAsia" w:ascii="宋体" w:hAnsi="宋体" w:eastAsia="宋体"/>
          <w:sz w:val="21"/>
          <w:szCs w:val="21"/>
        </w:rPr>
        <w:t>严格禁止机器人使用危险的材料或具备危险的机构，例如：</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易燃气体、产生火或者烟的设备、液压油或液压件、含有液态汞（水银）的开关或触点；</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危险材料（如铅）；</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可能造成场地污染的材料，例如沙子等可能在比赛中散落的物体；</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可能造成机器人固定连接的材料；</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有锋利边角易造成伤害的材料；</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使用动物制成的材料（出于健康和法律考虑）；</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含有液体或胶状物的材料（按规定使用的胶水、润滑油除外）；</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可能将机器人上电流传导至场地上的任何零件；</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犯规方机器人将被判禁用。如果机器人还要参加比赛，选手需要对机器人进行整改，并接受再次检查。两次违规将被判取消本场比赛资格。</w:t>
      </w:r>
    </w:p>
    <w:p>
      <w:pPr>
        <w:pStyle w:val="72"/>
        <w:adjustRightInd w:val="0"/>
        <w:snapToGrid w:val="0"/>
        <w:spacing w:line="360" w:lineRule="auto"/>
        <w:rPr>
          <w:rFonts w:ascii="宋体" w:hAnsi="宋体" w:eastAsia="宋体"/>
          <w:sz w:val="21"/>
        </w:rPr>
      </w:pPr>
      <w:r>
        <w:rPr>
          <w:rFonts w:hint="eastAsia" w:ascii="宋体" w:hAnsi="宋体" w:eastAsia="宋体"/>
          <w:sz w:val="21"/>
        </w:rPr>
        <w:t>其他不安全因素</w:t>
      </w:r>
    </w:p>
    <w:p>
      <w:pPr>
        <w:pStyle w:val="96"/>
        <w:adjustRightInd w:val="0"/>
        <w:snapToGrid w:val="0"/>
        <w:spacing w:line="360" w:lineRule="auto"/>
        <w:ind w:firstLine="420"/>
        <w:rPr>
          <w:rFonts w:ascii="宋体" w:hAnsi="宋体" w:eastAsia="宋体"/>
          <w:sz w:val="21"/>
          <w:szCs w:val="21"/>
        </w:rPr>
      </w:pPr>
      <w:r>
        <w:rPr>
          <w:rFonts w:hint="eastAsia" w:ascii="宋体" w:hAnsi="宋体" w:eastAsia="宋体"/>
          <w:sz w:val="21"/>
          <w:szCs w:val="21"/>
        </w:rPr>
        <w:t>在R06.项目之外，裁判有权针对特定机器人是否安全进行单独判定。</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犯规方机器人将被判禁用。如果机器人还要参加比赛，选手需要对机器人进行整改，并接受再次检查。两次违规将被判取消比赛资格。</w:t>
      </w:r>
    </w:p>
    <w:p>
      <w:pPr>
        <w:pStyle w:val="72"/>
        <w:adjustRightInd w:val="0"/>
        <w:snapToGrid w:val="0"/>
        <w:spacing w:line="360" w:lineRule="auto"/>
        <w:rPr>
          <w:rFonts w:ascii="宋体" w:hAnsi="宋体" w:eastAsia="宋体"/>
          <w:sz w:val="21"/>
        </w:rPr>
      </w:pPr>
      <w:r>
        <w:rPr>
          <w:rFonts w:hint="eastAsia" w:ascii="宋体" w:hAnsi="宋体" w:eastAsia="宋体"/>
          <w:sz w:val="21"/>
        </w:rPr>
        <w:t>操控团队</w:t>
      </w:r>
    </w:p>
    <w:p>
      <w:pPr>
        <w:pStyle w:val="96"/>
        <w:adjustRightInd w:val="0"/>
        <w:snapToGrid w:val="0"/>
        <w:spacing w:line="360" w:lineRule="auto"/>
        <w:ind w:firstLine="420"/>
        <w:rPr>
          <w:rFonts w:ascii="宋体" w:hAnsi="宋体" w:eastAsia="宋体"/>
          <w:sz w:val="21"/>
          <w:szCs w:val="21"/>
        </w:rPr>
      </w:pPr>
      <w:r>
        <w:rPr>
          <w:rFonts w:hint="eastAsia" w:ascii="宋体" w:hAnsi="宋体" w:eastAsia="宋体"/>
          <w:sz w:val="21"/>
          <w:szCs w:val="21"/>
        </w:rPr>
        <w:t>每个参赛</w:t>
      </w:r>
      <w:r>
        <w:rPr>
          <w:rFonts w:hint="eastAsia" w:ascii="宋体" w:hAnsi="宋体" w:eastAsia="宋体" w:cs="微软雅黑"/>
          <w:sz w:val="21"/>
          <w:szCs w:val="21"/>
        </w:rPr>
        <w:t>队伍</w:t>
      </w:r>
      <w:r>
        <w:rPr>
          <w:rFonts w:hint="eastAsia" w:ascii="宋体" w:hAnsi="宋体" w:eastAsia="宋体"/>
          <w:sz w:val="21"/>
          <w:szCs w:val="21"/>
        </w:rPr>
        <w:t>派出1名操作手和1名观察手。每方联盟中包含2名操作手和2名观察手，选出其中一人为联盟队长。</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每场比赛由双方联盟操作手操控机器人完成任务。</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本方操作手与观察手在比赛期间可自由交换角色。</w:t>
      </w:r>
    </w:p>
    <w:p>
      <w:pPr>
        <w:pStyle w:val="72"/>
        <w:adjustRightInd w:val="0"/>
        <w:snapToGrid w:val="0"/>
        <w:spacing w:line="360" w:lineRule="auto"/>
        <w:rPr>
          <w:rFonts w:ascii="宋体" w:hAnsi="宋体" w:eastAsia="宋体"/>
          <w:sz w:val="21"/>
        </w:rPr>
      </w:pPr>
      <w:r>
        <w:rPr>
          <w:rFonts w:hint="eastAsia" w:ascii="宋体" w:hAnsi="宋体" w:eastAsia="宋体"/>
          <w:sz w:val="21"/>
        </w:rPr>
        <w:t>参赛选手要求</w:t>
      </w:r>
    </w:p>
    <w:p>
      <w:pPr>
        <w:pStyle w:val="96"/>
        <w:adjustRightInd w:val="0"/>
        <w:snapToGrid w:val="0"/>
        <w:spacing w:line="360" w:lineRule="auto"/>
        <w:ind w:firstLine="420"/>
        <w:rPr>
          <w:rFonts w:ascii="宋体" w:hAnsi="宋体" w:eastAsia="宋体"/>
          <w:sz w:val="21"/>
          <w:szCs w:val="21"/>
        </w:rPr>
      </w:pPr>
      <w:r>
        <w:rPr>
          <w:rFonts w:hint="eastAsia" w:ascii="宋体" w:hAnsi="宋体" w:eastAsia="宋体"/>
          <w:sz w:val="21"/>
          <w:szCs w:val="21"/>
        </w:rPr>
        <w:t>比赛过程中，参赛队员必须佩戴护目镜。</w:t>
      </w:r>
    </w:p>
    <w:p>
      <w:pPr>
        <w:pStyle w:val="96"/>
        <w:numPr>
          <w:ilvl w:val="0"/>
          <w:numId w:val="20"/>
        </w:numPr>
        <w:ind w:firstLineChars="0"/>
        <w:rPr>
          <w:rFonts w:ascii="宋体" w:hAnsi="宋体" w:eastAsia="宋体"/>
          <w:sz w:val="21"/>
          <w:szCs w:val="21"/>
        </w:rPr>
      </w:pPr>
      <w:r>
        <w:rPr>
          <w:rFonts w:ascii="宋体" w:hAnsi="宋体" w:eastAsia="宋体" w:cs="微软雅黑"/>
          <w:color w:val="000000" w:themeColor="text1"/>
          <w:sz w:val="21"/>
          <w:szCs w:val="21"/>
          <w14:textFill>
            <w14:solidFill>
              <w14:schemeClr w14:val="tx1"/>
            </w14:solidFill>
          </w14:textFill>
        </w:rPr>
        <w:t xml:space="preserve">  </w:t>
      </w:r>
      <w:r>
        <w:rPr>
          <w:rFonts w:hint="eastAsia" w:ascii="宋体" w:hAnsi="宋体" w:eastAsia="宋体" w:cs="微软雅黑"/>
          <w:color w:val="000000" w:themeColor="text1"/>
          <w:sz w:val="21"/>
          <w:szCs w:val="21"/>
          <w14:textFill>
            <w14:solidFill>
              <w14:schemeClr w14:val="tx1"/>
            </w14:solidFill>
          </w14:textFill>
        </w:rPr>
        <w:t>犯规方将被判警告</w:t>
      </w:r>
      <w:r>
        <w:rPr>
          <w:rFonts w:hint="eastAsia" w:ascii="宋体" w:hAnsi="宋体" w:eastAsia="宋体"/>
          <w:sz w:val="21"/>
          <w:szCs w:val="21"/>
        </w:rPr>
        <w:t>，两次违规将被判违例。</w:t>
      </w:r>
    </w:p>
    <w:p>
      <w:pPr>
        <w:pStyle w:val="96"/>
        <w:numPr>
          <w:ilvl w:val="0"/>
          <w:numId w:val="0"/>
        </w:numPr>
        <w:adjustRightInd w:val="0"/>
        <w:snapToGrid w:val="0"/>
        <w:spacing w:line="360" w:lineRule="auto"/>
        <w:ind w:left="420"/>
        <w:rPr>
          <w:rFonts w:ascii="宋体" w:hAnsi="宋体" w:eastAsia="宋体"/>
          <w:sz w:val="21"/>
          <w:szCs w:val="21"/>
          <w:highlight w:val="yellow"/>
        </w:rPr>
      </w:pPr>
    </w:p>
    <w:p>
      <w:pPr>
        <w:pStyle w:val="96"/>
        <w:adjustRightInd w:val="0"/>
        <w:snapToGrid w:val="0"/>
        <w:spacing w:line="360" w:lineRule="auto"/>
        <w:ind w:firstLine="420"/>
        <w:rPr>
          <w:rFonts w:ascii="宋体" w:hAnsi="宋体" w:eastAsia="宋体"/>
          <w:sz w:val="21"/>
          <w:szCs w:val="21"/>
        </w:rPr>
      </w:pPr>
      <w:r>
        <w:rPr>
          <w:rFonts w:hint="eastAsia" w:ascii="宋体" w:hAnsi="宋体" w:eastAsia="宋体"/>
          <w:sz w:val="21"/>
          <w:szCs w:val="21"/>
        </w:rPr>
        <w:t>在备赛、调试机器人、上场比赛等环节，留长发者应将头发扎起。参赛选手应穿不露出脚趾的鞋进入场地。</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犯规方将被判警告，两次违规将被判违。</w:t>
      </w:r>
    </w:p>
    <w:p>
      <w:pPr>
        <w:pStyle w:val="72"/>
        <w:adjustRightInd w:val="0"/>
        <w:snapToGrid w:val="0"/>
        <w:spacing w:line="360" w:lineRule="auto"/>
        <w:rPr>
          <w:rFonts w:ascii="宋体" w:hAnsi="宋体" w:eastAsia="宋体"/>
          <w:sz w:val="21"/>
        </w:rPr>
      </w:pPr>
      <w:r>
        <w:rPr>
          <w:rFonts w:hint="eastAsia" w:ascii="宋体" w:hAnsi="宋体" w:eastAsia="宋体"/>
          <w:sz w:val="21"/>
        </w:rPr>
        <w:t>参赛选手站位</w:t>
      </w:r>
    </w:p>
    <w:p>
      <w:pPr>
        <w:pStyle w:val="96"/>
        <w:adjustRightInd w:val="0"/>
        <w:snapToGrid w:val="0"/>
        <w:spacing w:line="360" w:lineRule="auto"/>
        <w:ind w:firstLine="420"/>
        <w:rPr>
          <w:rFonts w:ascii="宋体" w:hAnsi="宋体" w:eastAsia="宋体"/>
          <w:sz w:val="21"/>
          <w:szCs w:val="21"/>
        </w:rPr>
      </w:pPr>
      <w:r>
        <w:rPr>
          <w:rFonts w:hint="eastAsia" w:ascii="宋体" w:hAnsi="宋体" w:eastAsia="宋体"/>
          <w:sz w:val="21"/>
          <w:szCs w:val="21"/>
        </w:rPr>
        <w:t>参赛选手在比赛过程中的活动范围须在操作区内，下图所示（实际操作区大小视比赛现场情况而定）：</w:t>
      </w:r>
    </w:p>
    <w:p>
      <w:pPr>
        <w:pStyle w:val="28"/>
        <w:numPr>
          <w:ilvl w:val="0"/>
          <w:numId w:val="19"/>
        </w:numPr>
        <w:adjustRightInd w:val="0"/>
        <w:snapToGrid w:val="0"/>
        <w:spacing w:line="360" w:lineRule="auto"/>
        <w:ind w:firstLineChars="0"/>
        <w:rPr>
          <w:rFonts w:ascii="宋体" w:hAnsi="宋体" w:eastAsia="宋体"/>
          <w:sz w:val="21"/>
        </w:rPr>
      </w:pPr>
      <w:r>
        <w:rPr>
          <w:rFonts w:hint="eastAsia" w:ascii="宋体" w:hAnsi="宋体" w:eastAsia="宋体"/>
          <w:sz w:val="21"/>
        </w:rPr>
        <w:t>犯规方将被判警告，两次违规将被判违例。</w:t>
      </w:r>
    </w:p>
    <w:p>
      <w:pPr>
        <w:pStyle w:val="28"/>
        <w:adjustRightInd w:val="0"/>
        <w:snapToGrid w:val="0"/>
        <w:spacing w:line="240" w:lineRule="atLeast"/>
        <w:ind w:firstLine="0" w:firstLineChars="0"/>
      </w:pPr>
      <w:r>
        <w:rPr>
          <w:rFonts w:hint="eastAsia"/>
        </w:rPr>
        <w:drawing>
          <wp:inline distT="0" distB="0" distL="114300" distR="114300">
            <wp:extent cx="5181600" cy="3424555"/>
            <wp:effectExtent l="0" t="0" r="0" b="4445"/>
            <wp:docPr id="2" name="图片 2" descr="7c53fdb7-c970-42c0-900c-8646735df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c53fdb7-c970-42c0-900c-8646735df9a7"/>
                    <pic:cNvPicPr>
                      <a:picLocks noChangeAspect="1"/>
                    </pic:cNvPicPr>
                  </pic:nvPicPr>
                  <pic:blipFill>
                    <a:blip r:embed="rId36"/>
                    <a:stretch>
                      <a:fillRect/>
                    </a:stretch>
                  </pic:blipFill>
                  <pic:spPr>
                    <a:xfrm>
                      <a:off x="0" y="0"/>
                      <a:ext cx="5185256" cy="3427245"/>
                    </a:xfrm>
                    <a:prstGeom prst="rect">
                      <a:avLst/>
                    </a:prstGeom>
                  </pic:spPr>
                </pic:pic>
              </a:graphicData>
            </a:graphic>
          </wp:inline>
        </w:drawing>
      </w:r>
    </w:p>
    <w:p>
      <w:pPr>
        <w:widowControl/>
        <w:adjustRightInd w:val="0"/>
        <w:snapToGrid w:val="0"/>
        <w:spacing w:after="156" w:afterLines="50" w:line="240" w:lineRule="atLeast"/>
        <w:jc w:val="center"/>
        <w:rPr>
          <w:rFonts w:ascii="微软雅黑" w:hAnsi="微软雅黑" w:eastAsia="微软雅黑" w:cs="微软雅黑"/>
          <w:sz w:val="18"/>
          <w:szCs w:val="15"/>
        </w:rPr>
      </w:pPr>
      <w:bookmarkStart w:id="55" w:name="_Toc628305265"/>
      <w:bookmarkStart w:id="56" w:name="_Toc12888"/>
      <w:r>
        <w:rPr>
          <w:rFonts w:hint="eastAsia" w:ascii="微软雅黑" w:hAnsi="微软雅黑" w:eastAsia="微软雅黑" w:cs="微软雅黑"/>
          <w:sz w:val="18"/>
          <w:szCs w:val="15"/>
        </w:rPr>
        <w:t>图6.2-1</w:t>
      </w:r>
      <w:r>
        <w:rPr>
          <w:rFonts w:ascii="微软雅黑" w:hAnsi="微软雅黑" w:eastAsia="微软雅黑" w:cs="微软雅黑"/>
          <w:sz w:val="18"/>
          <w:szCs w:val="15"/>
        </w:rPr>
        <w:t xml:space="preserve"> 操作区站位示意图</w:t>
      </w:r>
      <w:bookmarkEnd w:id="55"/>
      <w:bookmarkEnd w:id="56"/>
    </w:p>
    <w:p>
      <w:pPr>
        <w:pStyle w:val="72"/>
        <w:adjustRightInd w:val="0"/>
        <w:snapToGrid w:val="0"/>
        <w:spacing w:line="360" w:lineRule="auto"/>
        <w:rPr>
          <w:rFonts w:ascii="宋体" w:hAnsi="宋体" w:eastAsia="宋体"/>
          <w:b w:val="0"/>
          <w:sz w:val="21"/>
        </w:rPr>
      </w:pPr>
      <w:r>
        <w:rPr>
          <w:rFonts w:hint="eastAsia" w:ascii="宋体" w:hAnsi="宋体" w:eastAsia="宋体"/>
          <w:sz w:val="21"/>
        </w:rPr>
        <w:t>比赛中替换场上选手</w:t>
      </w:r>
      <w:r>
        <w:rPr>
          <w:rFonts w:hint="eastAsia" w:ascii="宋体" w:hAnsi="宋体" w:eastAsia="宋体"/>
          <w:b w:val="0"/>
          <w:sz w:val="21"/>
        </w:rPr>
        <w:t xml:space="preserve">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在比赛过程中不允许场外第三人替换场上操作手与观察手。</w:t>
      </w:r>
      <w:r>
        <w:rPr>
          <w:rFonts w:ascii="宋体" w:hAnsi="宋体" w:eastAsia="宋体" w:cs="宋体"/>
          <w:kern w:val="0"/>
          <w:sz w:val="21"/>
          <w:szCs w:val="21"/>
          <w:lang w:bidi="ar"/>
        </w:rPr>
        <w:t xml:space="preserve">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犯规方将被判</w:t>
      </w:r>
      <w:r>
        <w:rPr>
          <w:rFonts w:ascii="宋体" w:hAnsi="宋体" w:eastAsia="宋体"/>
          <w:b/>
          <w:bCs/>
          <w:sz w:val="21"/>
        </w:rPr>
        <w:t>红牌。</w:t>
      </w:r>
      <w:r>
        <w:rPr>
          <w:rFonts w:ascii="宋体" w:hAnsi="宋体" w:eastAsia="宋体"/>
          <w:sz w:val="21"/>
        </w:rPr>
        <w:t xml:space="preserve">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淘汰赛相关规则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淘汰赛三局比赛中，每局比赛结束后，</w:t>
      </w:r>
      <w:r>
        <w:rPr>
          <w:rStyle w:val="29"/>
          <w:rFonts w:hint="eastAsia" w:ascii="宋体" w:hAnsi="宋体" w:eastAsia="宋体"/>
          <w:sz w:val="21"/>
          <w14:scene3d w14:prst="orthographicFront">
            <w14:lightRig w14:rig="threePt" w14:dir="t">
              <w14:rot w14:lat="0" w14:lon="0" w14:rev="0"/>
            </w14:lightRig>
          </w14:scene3d>
        </w:rPr>
        <w:t>队伍</w:t>
      </w:r>
      <w:r>
        <w:rPr>
          <w:rStyle w:val="29"/>
          <w:rFonts w:ascii="宋体" w:hAnsi="宋体" w:eastAsia="宋体"/>
          <w:sz w:val="21"/>
          <w14:scene3d w14:prst="orthographicFront">
            <w14:lightRig w14:rig="threePt" w14:dir="t">
              <w14:rot w14:lat="0" w14:lon="0" w14:rev="0"/>
            </w14:lightRig>
          </w14:scene3d>
        </w:rPr>
        <w:t xml:space="preserve">联盟最多有5分钟的调试时间，不得超时。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犯规方将被判</w:t>
      </w:r>
      <w:r>
        <w:rPr>
          <w:rFonts w:ascii="宋体" w:hAnsi="宋体" w:eastAsia="宋体"/>
          <w:b/>
          <w:bCs/>
          <w:sz w:val="21"/>
        </w:rPr>
        <w:t>警告</w:t>
      </w:r>
      <w:r>
        <w:rPr>
          <w:rFonts w:ascii="宋体" w:hAnsi="宋体" w:eastAsia="宋体"/>
          <w:sz w:val="21"/>
        </w:rPr>
        <w:t>，两次违规将被判</w:t>
      </w:r>
      <w:r>
        <w:rPr>
          <w:rFonts w:ascii="宋体" w:hAnsi="宋体" w:eastAsia="宋体"/>
          <w:b/>
          <w:bCs/>
          <w:sz w:val="21"/>
        </w:rPr>
        <w:t>违例。</w:t>
      </w:r>
      <w:r>
        <w:rPr>
          <w:rFonts w:ascii="宋体" w:hAnsi="宋体" w:eastAsia="宋体"/>
          <w:sz w:val="21"/>
        </w:rPr>
        <w:t xml:space="preserve">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无线电干扰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 xml:space="preserve">除比赛允许使用的电子通讯设备外，不允许参赛选手携带其他电子通讯设备进入比赛场地（手机、对讲机、电脑、无线网络设备等）。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犯规方将被判违例，两次违规将被判黄牌。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提前开始比赛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 xml:space="preserve">在裁判宣布比赛开始前，机器人不得启动。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犯规方将被判违例，两次违规将被判黄牌。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延迟结束比赛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 xml:space="preserve">在自动控制阶段、手动控制阶段、全力一搏阶段结束后，操作手应停止操作机器人或停止机器人的运动程序（机器人由于惯性导致的运动除外）。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犯规方将被判违例，若延迟结束比赛为犯规方带来比赛优势，裁判应判无效得分，并尽量恢复场地原有状态。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违规接触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除强化改装阶段外，参赛选手在比赛过程中不得直接接触道具、场地框架等场地元素及机器人，包括且不限于操作手倚靠围栏、参赛选手推动机器人位置等情况。因小</w:t>
      </w:r>
      <w:r>
        <w:rPr>
          <w:rStyle w:val="29"/>
          <w:rFonts w:hint="eastAsia" w:ascii="宋体" w:hAnsi="宋体" w:eastAsia="宋体"/>
          <w:sz w:val="21"/>
          <w14:scene3d w14:prst="orthographicFront">
            <w14:lightRig w14:rig="threePt" w14:dir="t">
              <w14:rot w14:lat="0" w14:lon="0" w14:rev="0"/>
            </w14:lightRig>
          </w14:scene3d>
        </w:rPr>
        <w:t>黄球</w:t>
      </w:r>
      <w:r>
        <w:rPr>
          <w:rStyle w:val="29"/>
          <w:rFonts w:ascii="宋体" w:hAnsi="宋体" w:eastAsia="宋体"/>
          <w:sz w:val="21"/>
          <w14:scene3d w14:prst="orthographicFront">
            <w14:lightRig w14:rig="threePt" w14:dir="t">
              <w14:rot w14:lat="0" w14:lon="0" w14:rev="0"/>
            </w14:lightRig>
          </w14:scene3d>
        </w:rPr>
        <w:t xml:space="preserve">等道具的正常运动飞出场地外发生接触的，不受此规则的约束。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犯规方将被判违例，若因违规接触对得分或比赛的进行造成影响，犯规方将被判黄牌。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身体进入比赛场地影响比赛进行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 xml:space="preserve">比赛过程中操控团队应保持身体投影在场地之外，以免可能发生的阻挡对方机器人进攻路线等影响比赛进行的情况。强化改装阶段搬运机器人进出场地的动作除外。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犯规方将被判违例。两次违规将被判黄牌。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自动控制阶段使用蓝牙手柄控制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机器人与</w:t>
      </w:r>
      <w:r>
        <w:rPr>
          <w:rStyle w:val="29"/>
          <w:rFonts w:hint="eastAsia" w:ascii="宋体" w:hAnsi="宋体" w:eastAsia="宋体"/>
          <w:sz w:val="21"/>
          <w14:scene3d w14:prst="orthographicFront">
            <w14:lightRig w14:rig="threePt" w14:dir="t">
              <w14:rot w14:lat="0" w14:lon="0" w14:rev="0"/>
            </w14:lightRig>
          </w14:scene3d>
        </w:rPr>
        <w:t>蓝牙手柄</w:t>
      </w:r>
      <w:r>
        <w:rPr>
          <w:rStyle w:val="29"/>
          <w:rFonts w:ascii="宋体" w:hAnsi="宋体" w:eastAsia="宋体"/>
          <w:sz w:val="21"/>
          <w14:scene3d w14:prst="orthographicFront">
            <w14:lightRig w14:rig="threePt" w14:dir="t">
              <w14:rot w14:lat="0" w14:lon="0" w14:rev="0"/>
            </w14:lightRig>
          </w14:scene3d>
        </w:rPr>
        <w:t>的连接需在比赛开始前完成，</w:t>
      </w:r>
      <w:r>
        <w:rPr>
          <w:rStyle w:val="29"/>
          <w:rFonts w:hint="eastAsia" w:ascii="宋体" w:hAnsi="宋体" w:eastAsia="宋体"/>
          <w:sz w:val="21"/>
          <w14:scene3d w14:prst="orthographicFront">
            <w14:lightRig w14:rig="threePt" w14:dir="t">
              <w14:rot w14:lat="0" w14:lon="0" w14:rev="0"/>
            </w14:lightRig>
          </w14:scene3d>
        </w:rPr>
        <w:t>参赛选手</w:t>
      </w:r>
      <w:r>
        <w:rPr>
          <w:rStyle w:val="29"/>
          <w:rFonts w:ascii="宋体" w:hAnsi="宋体" w:eastAsia="宋体"/>
          <w:sz w:val="21"/>
          <w14:scene3d w14:prst="orthographicFront">
            <w14:lightRig w14:rig="threePt" w14:dir="t">
              <w14:rot w14:lat="0" w14:lon="0" w14:rev="0"/>
            </w14:lightRig>
          </w14:scene3d>
        </w:rPr>
        <w:t>全程保证操控手柄处于开机状态</w:t>
      </w:r>
      <w:r>
        <w:rPr>
          <w:rStyle w:val="29"/>
          <w:rFonts w:hint="eastAsia" w:ascii="宋体" w:hAnsi="宋体" w:eastAsia="宋体"/>
          <w:sz w:val="21"/>
          <w14:scene3d w14:prst="orthographicFront">
            <w14:lightRig w14:rig="threePt" w14:dir="t">
              <w14:rot w14:lat="0" w14:lon="0" w14:rev="0"/>
            </w14:lightRig>
          </w14:scene3d>
        </w:rPr>
        <w:t>，</w:t>
      </w:r>
      <w:r>
        <w:rPr>
          <w:rStyle w:val="29"/>
          <w:rFonts w:ascii="宋体" w:hAnsi="宋体" w:eastAsia="宋体"/>
          <w:sz w:val="21"/>
          <w14:scene3d w14:prst="orthographicFront">
            <w14:lightRig w14:rig="threePt" w14:dir="t">
              <w14:rot w14:lat="0" w14:lon="0" w14:rev="0"/>
            </w14:lightRig>
          </w14:scene3d>
        </w:rPr>
        <w:t>不可在比赛自动控制阶段使用操控手柄操控机器人，否则裁判有权利当场取消该参赛</w:t>
      </w:r>
      <w:r>
        <w:rPr>
          <w:rStyle w:val="29"/>
          <w:rFonts w:hint="eastAsia" w:ascii="宋体" w:hAnsi="宋体" w:eastAsia="宋体"/>
          <w:sz w:val="21"/>
          <w14:scene3d w14:prst="orthographicFront">
            <w14:lightRig w14:rig="threePt" w14:dir="t">
              <w14:rot w14:lat="0" w14:lon="0" w14:rev="0"/>
            </w14:lightRig>
          </w14:scene3d>
        </w:rPr>
        <w:t>队伍</w:t>
      </w:r>
      <w:r>
        <w:rPr>
          <w:rStyle w:val="29"/>
          <w:rFonts w:ascii="宋体" w:hAnsi="宋体" w:eastAsia="宋体"/>
          <w:sz w:val="21"/>
          <w14:scene3d w14:prst="orthographicFront">
            <w14:lightRig w14:rig="threePt" w14:dir="t">
              <w14:rot w14:lat="0" w14:lon="0" w14:rev="0"/>
            </w14:lightRig>
          </w14:scene3d>
        </w:rPr>
        <w:t xml:space="preserve">本场比赛资格。 </w:t>
      </w:r>
    </w:p>
    <w:p>
      <w:pPr>
        <w:pStyle w:val="28"/>
        <w:numPr>
          <w:ilvl w:val="0"/>
          <w:numId w:val="19"/>
        </w:numPr>
        <w:adjustRightInd w:val="0"/>
        <w:snapToGrid w:val="0"/>
        <w:spacing w:line="360" w:lineRule="auto"/>
        <w:ind w:firstLineChars="0"/>
        <w:rPr>
          <w:rFonts w:ascii="宋体" w:hAnsi="宋体" w:eastAsia="宋体"/>
          <w:sz w:val="21"/>
        </w:rPr>
      </w:pPr>
      <w:r>
        <w:rPr>
          <w:rStyle w:val="29"/>
          <w:rFonts w:ascii="宋体" w:hAnsi="宋体" w:eastAsia="宋体"/>
          <w:sz w:val="21"/>
          <w14:scene3d w14:prst="orthographicFront">
            <w14:lightRig w14:rig="threePt" w14:dir="t">
              <w14:rot w14:lat="0" w14:lon="0" w14:rev="0"/>
            </w14:lightRig>
          </w14:scene3d>
        </w:rPr>
        <w:t>犯规方将被判红牌。</w:t>
      </w:r>
      <w:r>
        <w:rPr>
          <w:rFonts w:ascii="宋体" w:hAnsi="宋体" w:eastAsia="宋体"/>
          <w:sz w:val="21"/>
        </w:rPr>
        <w:t xml:space="preserve">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操控被禁用的机器人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机器人在被禁用后，操控手不得继续控制。</w:t>
      </w:r>
      <w:r>
        <w:rPr>
          <w:rFonts w:ascii="宋体" w:hAnsi="宋体" w:eastAsia="宋体" w:cs="宋体"/>
          <w:kern w:val="0"/>
          <w:sz w:val="21"/>
          <w:szCs w:val="21"/>
          <w:lang w:bidi="ar"/>
        </w:rPr>
        <w:t xml:space="preserve">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犯规方将被判违例，严重违规将被判黄牌，直至取消比赛资格。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机器人遗留零部件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比赛期间，机器人不可以分离（分离指与机器人主体分离，并不受控制）零部件或把机械装置遗留在比赛场地。因对方机器人的碰撞或其他机器人的</w:t>
      </w:r>
      <w:r>
        <w:rPr>
          <w:rStyle w:val="29"/>
          <w:rFonts w:ascii="宋体" w:hAnsi="宋体" w:eastAsia="宋体"/>
          <w:b/>
          <w:bCs/>
          <w:sz w:val="21"/>
          <w14:scene3d w14:prst="orthographicFront">
            <w14:lightRig w14:rig="threePt" w14:dir="t">
              <w14:rot w14:lat="0" w14:lon="0" w14:rev="0"/>
            </w14:lightRig>
          </w14:scene3d>
        </w:rPr>
        <w:t>直接接触</w:t>
      </w:r>
      <w:r>
        <w:rPr>
          <w:rStyle w:val="29"/>
          <w:rFonts w:ascii="宋体" w:hAnsi="宋体" w:eastAsia="宋体"/>
          <w:sz w:val="21"/>
          <w14:scene3d w14:prst="orthographicFront">
            <w14:lightRig w14:rig="threePt" w14:dir="t">
              <w14:rot w14:lat="0" w14:lon="0" w14:rev="0"/>
            </w14:lightRig>
          </w14:scene3d>
        </w:rPr>
        <w:t>行为导致的脱落除外。</w:t>
      </w:r>
      <w:r>
        <w:rPr>
          <w:rFonts w:ascii="宋体" w:hAnsi="宋体" w:eastAsia="宋体" w:cs="宋体"/>
          <w:kern w:val="0"/>
          <w:sz w:val="21"/>
          <w:szCs w:val="21"/>
          <w:lang w:bidi="ar"/>
        </w:rPr>
        <w:t xml:space="preserve">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若影响比赛进行犯规方将被判违例。两次违规将被判黄牌。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机器人在比赛过程中不符合规范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机器人在比赛过程中的尺寸、重量等参数须符合相关比赛规范。因被对手抛射场地元素击中，导致机器人尺寸超出比赛尺寸限制除外。</w:t>
      </w:r>
      <w:r>
        <w:rPr>
          <w:rFonts w:ascii="宋体" w:hAnsi="宋体" w:eastAsia="宋体" w:cs="宋体"/>
          <w:kern w:val="0"/>
          <w:sz w:val="21"/>
          <w:szCs w:val="21"/>
          <w:lang w:bidi="ar"/>
        </w:rPr>
        <w:t xml:space="preserve">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犯规方将被判</w:t>
      </w:r>
      <w:r>
        <w:rPr>
          <w:rFonts w:ascii="宋体" w:hAnsi="宋体" w:eastAsia="宋体"/>
          <w:b/>
          <w:bCs/>
          <w:sz w:val="21"/>
        </w:rPr>
        <w:t>红牌。</w:t>
      </w:r>
      <w:r>
        <w:rPr>
          <w:rFonts w:ascii="宋体" w:hAnsi="宋体" w:eastAsia="宋体"/>
          <w:sz w:val="21"/>
        </w:rPr>
        <w:t xml:space="preserve">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违规抛射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机器人不可将不被允许抛射的场地元素从己方场地上抛向对方场地。(如抛射球瓶、机器人零部件、</w:t>
      </w:r>
      <w:r>
        <w:rPr>
          <w:rStyle w:val="29"/>
          <w:rFonts w:hint="eastAsia" w:ascii="宋体" w:hAnsi="宋体" w:eastAsia="宋体"/>
          <w:sz w:val="21"/>
          <w14:scene3d w14:prst="orthographicFront">
            <w14:lightRig w14:rig="threePt" w14:dir="t">
              <w14:rot w14:lat="0" w14:lon="0" w14:rev="0"/>
            </w14:lightRig>
          </w14:scene3d>
        </w:rPr>
        <w:t>数据块</w:t>
      </w:r>
      <w:r>
        <w:rPr>
          <w:rStyle w:val="29"/>
          <w:rFonts w:ascii="宋体" w:hAnsi="宋体" w:eastAsia="宋体"/>
          <w:sz w:val="21"/>
          <w14:scene3d w14:prst="orthographicFront">
            <w14:lightRig w14:rig="threePt" w14:dir="t">
              <w14:rot w14:lat="0" w14:lon="0" w14:rev="0"/>
            </w14:lightRig>
          </w14:scene3d>
        </w:rPr>
        <w:t xml:space="preserve">等将会触犯此规则)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犯规方将被判黄牌，如造成对方场地元素的变化，需暂停</w:t>
      </w:r>
      <w:r>
        <w:rPr>
          <w:rFonts w:hint="eastAsia" w:ascii="宋体" w:hAnsi="宋体" w:eastAsia="宋体"/>
          <w:sz w:val="21"/>
        </w:rPr>
        <w:t>比赛并且</w:t>
      </w:r>
      <w:r>
        <w:rPr>
          <w:rFonts w:ascii="宋体" w:hAnsi="宋体" w:eastAsia="宋体"/>
          <w:sz w:val="21"/>
        </w:rPr>
        <w:t>还原</w:t>
      </w:r>
      <w:r>
        <w:rPr>
          <w:rFonts w:hint="eastAsia" w:ascii="宋体" w:hAnsi="宋体" w:eastAsia="宋体"/>
          <w:sz w:val="21"/>
        </w:rPr>
        <w:t>场地道具</w:t>
      </w:r>
      <w:r>
        <w:rPr>
          <w:rFonts w:ascii="宋体" w:hAnsi="宋体" w:eastAsia="宋体"/>
          <w:sz w:val="21"/>
        </w:rPr>
        <w:t xml:space="preserve">。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完全进入对方区域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比赛过程中，机器人不得通过</w:t>
      </w:r>
      <w:r>
        <w:rPr>
          <w:rStyle w:val="29"/>
          <w:rFonts w:hint="eastAsia" w:ascii="宋体" w:hAnsi="宋体" w:eastAsia="宋体"/>
          <w:sz w:val="21"/>
          <w14:scene3d w14:prst="orthographicFront">
            <w14:lightRig w14:rig="threePt" w14:dir="t">
              <w14:rot w14:lat="0" w14:lon="0" w14:rev="0"/>
            </w14:lightRig>
          </w14:scene3d>
        </w:rPr>
        <w:t>数据收集中心</w:t>
      </w:r>
      <w:r>
        <w:rPr>
          <w:rStyle w:val="29"/>
          <w:rFonts w:hint="eastAsia" w:ascii="宋体" w:hAnsi="宋体" w:eastAsia="宋体"/>
          <w:sz w:val="21"/>
          <w:lang w:eastAsia="zh-Hans"/>
          <w14:scene3d w14:prst="orthographicFront">
            <w14:lightRig w14:rig="threePt" w14:dir="t">
              <w14:rot w14:lat="0" w14:lon="0" w14:rev="0"/>
            </w14:lightRig>
          </w14:scene3d>
        </w:rPr>
        <w:t>下方</w:t>
      </w:r>
      <w:r>
        <w:rPr>
          <w:rStyle w:val="29"/>
          <w:rFonts w:ascii="宋体" w:hAnsi="宋体" w:eastAsia="宋体"/>
          <w:sz w:val="21"/>
          <w14:scene3d w14:prst="orthographicFront">
            <w14:lightRig w14:rig="threePt" w14:dir="t">
              <w14:rot w14:lat="0" w14:lon="0" w14:rev="0"/>
            </w14:lightRig>
          </w14:scene3d>
        </w:rPr>
        <w:t>隔栏</w:t>
      </w:r>
      <w:r>
        <w:rPr>
          <w:rStyle w:val="29"/>
          <w:rFonts w:hint="eastAsia" w:ascii="宋体" w:hAnsi="宋体" w:eastAsia="宋体"/>
          <w:sz w:val="21"/>
          <w14:scene3d w14:prst="orthographicFront">
            <w14:lightRig w14:rig="threePt" w14:dir="t">
              <w14:rot w14:lat="0" w14:lon="0" w14:rev="0"/>
            </w14:lightRig>
          </w14:scene3d>
        </w:rPr>
        <w:t>的</w:t>
      </w:r>
      <w:r>
        <w:rPr>
          <w:rStyle w:val="29"/>
          <w:rFonts w:ascii="宋体" w:hAnsi="宋体" w:eastAsia="宋体"/>
          <w:sz w:val="21"/>
          <w14:scene3d w14:prst="orthographicFront">
            <w14:lightRig w14:rig="threePt" w14:dir="t">
              <w14:rot w14:lat="0" w14:lon="0" w14:rev="0"/>
            </w14:lightRig>
          </w14:scene3d>
        </w:rPr>
        <w:t>镂空部分</w:t>
      </w:r>
      <w:r>
        <w:rPr>
          <w:rStyle w:val="29"/>
          <w:rFonts w:hint="eastAsia" w:ascii="宋体" w:hAnsi="宋体" w:eastAsia="宋体"/>
          <w:sz w:val="21"/>
          <w14:scene3d w14:prst="orthographicFront">
            <w14:lightRig w14:rig="threePt" w14:dir="t">
              <w14:rot w14:lat="0" w14:lon="0" w14:rev="0"/>
            </w14:lightRig>
          </w14:scene3d>
        </w:rPr>
        <w:t>或数据中心上方，完全</w:t>
      </w:r>
      <w:r>
        <w:rPr>
          <w:rStyle w:val="29"/>
          <w:rFonts w:ascii="宋体" w:hAnsi="宋体" w:eastAsia="宋体"/>
          <w:sz w:val="21"/>
          <w14:scene3d w14:prst="orthographicFront">
            <w14:lightRig w14:rig="threePt" w14:dir="t">
              <w14:rot w14:lat="0" w14:lon="0" w14:rev="0"/>
            </w14:lightRig>
          </w14:scene3d>
        </w:rPr>
        <w:t>进入对方区域</w:t>
      </w:r>
      <w:r>
        <w:rPr>
          <w:rStyle w:val="29"/>
          <w:rFonts w:hint="eastAsia" w:ascii="宋体" w:hAnsi="宋体" w:eastAsia="宋体"/>
          <w:sz w:val="21"/>
          <w14:scene3d w14:prst="orthographicFront">
            <w14:lightRig w14:rig="threePt" w14:dir="t">
              <w14:rot w14:lat="0" w14:lon="0" w14:rev="0"/>
            </w14:lightRig>
          </w14:scene3d>
        </w:rPr>
        <w:t>。</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犯规方将被判</w:t>
      </w:r>
      <w:r>
        <w:rPr>
          <w:rFonts w:hint="eastAsia" w:ascii="宋体" w:hAnsi="宋体" w:eastAsia="宋体"/>
          <w:sz w:val="21"/>
        </w:rPr>
        <w:t>红</w:t>
      </w:r>
      <w:r>
        <w:rPr>
          <w:rFonts w:ascii="宋体" w:hAnsi="宋体" w:eastAsia="宋体"/>
          <w:sz w:val="21"/>
        </w:rPr>
        <w:t xml:space="preserve">牌。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限制对方机器人移动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机器人不可阻止对方联盟机器人的全方位移动或阻止对方联盟机器人接触场地元素。</w:t>
      </w:r>
      <w:r>
        <w:rPr>
          <w:rFonts w:ascii="宋体" w:hAnsi="宋体" w:eastAsia="宋体" w:cs="宋体"/>
          <w:kern w:val="0"/>
          <w:sz w:val="21"/>
          <w:szCs w:val="21"/>
          <w:lang w:bidi="ar"/>
        </w:rPr>
        <w:t xml:space="preserve">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犯规方将被判违例，情节恶劣者将被判黄牌。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 xml:space="preserve">因为机器人部分本体一进入对方区域而导致对方联盟机器人被别住或者限制，裁判可视情况暂停比赛，警告双方机器人尽快分离。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犯规方将被判违例，情节恶劣者将被判黄牌。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违例指导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在比赛全过程中，除参赛</w:t>
      </w:r>
      <w:r>
        <w:rPr>
          <w:rStyle w:val="29"/>
          <w:rFonts w:hint="eastAsia" w:ascii="宋体" w:hAnsi="宋体" w:eastAsia="宋体"/>
          <w:sz w:val="21"/>
          <w14:scene3d w14:prst="orthographicFront">
            <w14:lightRig w14:rig="threePt" w14:dir="t">
              <w14:rot w14:lat="0" w14:lon="0" w14:rev="0"/>
            </w14:lightRig>
          </w14:scene3d>
        </w:rPr>
        <w:t>队伍</w:t>
      </w:r>
      <w:r>
        <w:rPr>
          <w:rStyle w:val="29"/>
          <w:rFonts w:ascii="宋体" w:hAnsi="宋体" w:eastAsia="宋体"/>
          <w:sz w:val="21"/>
          <w14:scene3d w14:prst="orthographicFront">
            <w14:lightRig w14:rig="threePt" w14:dir="t">
              <w14:rot w14:lat="0" w14:lon="0" w14:rev="0"/>
            </w14:lightRig>
          </w14:scene3d>
        </w:rPr>
        <w:t>成员外任何的相关人员包括但不限于选手的家长或者指导老师均不得通过任何方式进入赛场区并进行任何形式的指导。若发生违例指导，裁判有权利当场取消该参赛</w:t>
      </w:r>
      <w:r>
        <w:rPr>
          <w:rStyle w:val="29"/>
          <w:rFonts w:hint="eastAsia" w:ascii="宋体" w:hAnsi="宋体" w:eastAsia="宋体"/>
          <w:sz w:val="21"/>
          <w14:scene3d w14:prst="orthographicFront">
            <w14:lightRig w14:rig="threePt" w14:dir="t">
              <w14:rot w14:lat="0" w14:lon="0" w14:rev="0"/>
            </w14:lightRig>
          </w14:scene3d>
        </w:rPr>
        <w:t>队伍</w:t>
      </w:r>
      <w:r>
        <w:rPr>
          <w:rStyle w:val="29"/>
          <w:rFonts w:ascii="宋体" w:hAnsi="宋体" w:eastAsia="宋体"/>
          <w:sz w:val="21"/>
          <w14:scene3d w14:prst="orthographicFront">
            <w14:lightRig w14:rig="threePt" w14:dir="t">
              <w14:rot w14:lat="0" w14:lon="0" w14:rev="0"/>
            </w14:lightRig>
          </w14:scene3d>
        </w:rPr>
        <w:t xml:space="preserve">本场比赛的比赛资格。 </w:t>
      </w:r>
    </w:p>
    <w:p>
      <w:pPr>
        <w:pStyle w:val="28"/>
        <w:numPr>
          <w:ilvl w:val="0"/>
          <w:numId w:val="19"/>
        </w:numPr>
        <w:adjustRightInd w:val="0"/>
        <w:snapToGrid w:val="0"/>
        <w:spacing w:line="360" w:lineRule="auto"/>
        <w:ind w:firstLineChars="0"/>
        <w:rPr>
          <w:rFonts w:ascii="宋体" w:hAnsi="宋体" w:eastAsia="宋体"/>
          <w:sz w:val="21"/>
        </w:rPr>
      </w:pPr>
      <w:r>
        <w:rPr>
          <w:rStyle w:val="29"/>
          <w:rFonts w:ascii="宋体" w:hAnsi="宋体" w:eastAsia="宋体"/>
          <w:sz w:val="21"/>
          <w14:scene3d w14:prst="orthographicFront">
            <w14:lightRig w14:rig="threePt" w14:dir="t">
              <w14:rot w14:lat="0" w14:lon="0" w14:rev="0"/>
            </w14:lightRig>
          </w14:scene3d>
        </w:rPr>
        <w:t>犯规方将被判警告，若拒不改正，犯规方将被判违例，并可视情况加大处罚力度，直至取消比赛资格。</w:t>
      </w:r>
      <w:r>
        <w:rPr>
          <w:rFonts w:ascii="宋体" w:hAnsi="宋体" w:eastAsia="宋体"/>
          <w:sz w:val="21"/>
        </w:rPr>
        <w:t xml:space="preserve">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场外接触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比赛进行过程中参赛选手不允许与场外人员及观赛人员有任何接触，包括但不限于零件、</w:t>
      </w:r>
      <w:r>
        <w:rPr>
          <w:rStyle w:val="29"/>
          <w:rFonts w:hint="eastAsia" w:ascii="宋体" w:hAnsi="宋体" w:eastAsia="宋体"/>
          <w:sz w:val="21"/>
          <w14:scene3d w14:prst="orthographicFront">
            <w14:lightRig w14:rig="threePt" w14:dir="t">
              <w14:rot w14:lat="0" w14:lon="0" w14:rev="0"/>
            </w14:lightRig>
          </w14:scene3d>
        </w:rPr>
        <w:t>蓝牙手柄</w:t>
      </w:r>
      <w:r>
        <w:rPr>
          <w:rStyle w:val="29"/>
          <w:rFonts w:ascii="宋体" w:hAnsi="宋体" w:eastAsia="宋体"/>
          <w:sz w:val="21"/>
          <w14:scene3d w14:prst="orthographicFront">
            <w14:lightRig w14:rig="threePt" w14:dir="t">
              <w14:rot w14:lat="0" w14:lon="0" w14:rev="0"/>
            </w14:lightRig>
          </w14:scene3d>
        </w:rPr>
        <w:t xml:space="preserve">的传递。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两次违规将被判违例</w:t>
      </w:r>
    </w:p>
    <w:p>
      <w:pPr>
        <w:pStyle w:val="4"/>
        <w:keepNext w:val="0"/>
        <w:keepLines w:val="0"/>
        <w:tabs>
          <w:tab w:val="left" w:pos="668"/>
        </w:tabs>
        <w:autoSpaceDE w:val="0"/>
        <w:autoSpaceDN w:val="0"/>
        <w:spacing w:before="0" w:line="360" w:lineRule="auto"/>
        <w:jc w:val="left"/>
        <w:rPr>
          <w:rFonts w:ascii="宋体" w:hAnsi="宋体" w:eastAsia="宋体" w:cs="宋体"/>
          <w:b/>
          <w:bCs/>
          <w:color w:val="000000" w:themeColor="text1"/>
          <w:kern w:val="0"/>
          <w:lang w:val="zh-CN" w:bidi="zh-CN"/>
          <w14:textFill>
            <w14:solidFill>
              <w14:schemeClr w14:val="tx1"/>
            </w14:solidFill>
          </w14:textFill>
        </w:rPr>
      </w:pPr>
      <w:bookmarkStart w:id="57" w:name="_Toc749496556"/>
      <w:bookmarkStart w:id="58" w:name="_Toc16681"/>
      <w:bookmarkStart w:id="59" w:name="_Toc550764920_WPSOffice_Level2"/>
      <w:r>
        <w:rPr>
          <w:rFonts w:hint="eastAsia" w:ascii="宋体" w:hAnsi="宋体" w:eastAsia="宋体" w:cs="宋体"/>
          <w:b/>
          <w:bCs/>
          <w:color w:val="000000" w:themeColor="text1"/>
          <w:kern w:val="0"/>
          <w:lang w:val="zh-CN" w:bidi="zh-CN"/>
          <w14:textFill>
            <w14:solidFill>
              <w14:schemeClr w14:val="tx1"/>
            </w14:solidFill>
          </w14:textFill>
        </w:rPr>
        <w:t>6</w:t>
      </w:r>
      <w:r>
        <w:rPr>
          <w:rFonts w:ascii="宋体" w:hAnsi="宋体" w:eastAsia="宋体" w:cs="宋体"/>
          <w:b/>
          <w:bCs/>
          <w:color w:val="000000" w:themeColor="text1"/>
          <w:kern w:val="0"/>
          <w:lang w:val="zh-CN" w:bidi="zh-CN"/>
          <w14:textFill>
            <w14:solidFill>
              <w14:schemeClr w14:val="tx1"/>
            </w14:solidFill>
          </w14:textFill>
        </w:rPr>
        <w:t xml:space="preserve">.3 </w:t>
      </w:r>
      <w:r>
        <w:rPr>
          <w:rFonts w:hint="eastAsia" w:ascii="宋体" w:hAnsi="宋体" w:eastAsia="宋体" w:cs="宋体"/>
          <w:b/>
          <w:bCs/>
          <w:color w:val="000000" w:themeColor="text1"/>
          <w:kern w:val="0"/>
          <w:lang w:val="zh-CN" w:bidi="zh-CN"/>
          <w14:textFill>
            <w14:solidFill>
              <w14:schemeClr w14:val="tx1"/>
            </w14:solidFill>
          </w14:textFill>
        </w:rPr>
        <w:t>改装规则</w:t>
      </w:r>
      <w:bookmarkEnd w:id="57"/>
      <w:bookmarkEnd w:id="58"/>
      <w:bookmarkEnd w:id="59"/>
    </w:p>
    <w:p>
      <w:pPr>
        <w:pStyle w:val="28"/>
        <w:adjustRightInd w:val="0"/>
        <w:snapToGrid w:val="0"/>
        <w:spacing w:line="360" w:lineRule="auto"/>
        <w:ind w:firstLine="420" w:firstLineChars="0"/>
        <w:rPr>
          <w:rFonts w:ascii="宋体" w:hAnsi="宋体" w:eastAsia="宋体"/>
          <w:sz w:val="21"/>
          <w:szCs w:val="18"/>
        </w:rPr>
      </w:pPr>
      <w:r>
        <w:rPr>
          <w:rFonts w:ascii="宋体" w:hAnsi="宋体" w:eastAsia="宋体"/>
          <w:sz w:val="21"/>
          <w:szCs w:val="18"/>
        </w:rPr>
        <w:t>对于严重违反此规则的行为，</w:t>
      </w:r>
      <w:r>
        <w:rPr>
          <w:rFonts w:hint="eastAsia" w:ascii="宋体" w:hAnsi="宋体" w:eastAsia="宋体"/>
          <w:sz w:val="21"/>
          <w:szCs w:val="18"/>
          <w:lang w:eastAsia="zh-Hans"/>
        </w:rPr>
        <w:t>裁判</w:t>
      </w:r>
      <w:r>
        <w:rPr>
          <w:rFonts w:ascii="宋体" w:hAnsi="宋体" w:eastAsia="宋体"/>
          <w:sz w:val="21"/>
          <w:szCs w:val="18"/>
        </w:rPr>
        <w:t>有权对参赛队做出取消比赛资格的处罚。</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机器人未进入启动区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 xml:space="preserve">手动控制阶段结束时，机器人需在启动区内（部分或完全进入）方可取出机器人进行强化改装。机器人未进入启动区，强化改装阶段内将不被允许进行任何操作。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强行对未进入启动区的机器人进行改装，犯规方将被判红牌。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未在指定位置进行改装 </w:t>
      </w:r>
    </w:p>
    <w:p>
      <w:pPr>
        <w:pStyle w:val="96"/>
        <w:adjustRightInd w:val="0"/>
        <w:snapToGrid w:val="0"/>
        <w:spacing w:line="360" w:lineRule="auto"/>
        <w:ind w:firstLine="420"/>
        <w:rPr>
          <w:rStyle w:val="29"/>
          <w:rFonts w:ascii="宋体" w:hAnsi="宋体" w:eastAsia="宋体"/>
          <w:sz w:val="21"/>
          <w14:scene3d w14:prst="orthographicFront">
            <w14:lightRig w14:rig="threePt" w14:dir="t">
              <w14:rot w14:lat="0" w14:lon="0" w14:rev="0"/>
            </w14:lightRig>
          </w14:scene3d>
        </w:rPr>
      </w:pPr>
      <w:r>
        <w:rPr>
          <w:rStyle w:val="29"/>
          <w:rFonts w:ascii="宋体" w:hAnsi="宋体" w:eastAsia="宋体"/>
          <w:sz w:val="21"/>
          <w14:scene3d w14:prst="orthographicFront">
            <w14:lightRig w14:rig="threePt" w14:dir="t">
              <w14:rot w14:lat="0" w14:lon="0" w14:rev="0"/>
            </w14:lightRig>
          </w14:scene3d>
        </w:rPr>
        <w:t xml:space="preserve">只有在机器人投影面离开场地之后，即移出场地后才可以开始改装。即不能在机器人抬离地面，悬空于场地上方的情况下直接开始改装；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改变场地元素状态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选手在移出机器人时不可主动改变场地元素状态，不可触碰得分道具（机器人 内部得分道具除外例如：小黄球）</w:t>
      </w:r>
      <w:r>
        <w:rPr>
          <w:rFonts w:ascii="宋体" w:hAnsi="宋体" w:eastAsia="宋体" w:cs="宋体"/>
          <w:kern w:val="0"/>
          <w:sz w:val="21"/>
          <w:szCs w:val="21"/>
          <w:lang w:bidi="ar"/>
        </w:rPr>
        <w:t xml:space="preserve">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犯规方将被判违例，若改变场地元素为犯规方带来比赛优势，裁判应判无效得分，并尽量恢复场地原有状态。 </w:t>
      </w:r>
    </w:p>
    <w:p>
      <w:pPr>
        <w:pStyle w:val="72"/>
        <w:adjustRightInd w:val="0"/>
        <w:snapToGrid w:val="0"/>
        <w:spacing w:line="360" w:lineRule="auto"/>
        <w:rPr>
          <w:rFonts w:ascii="宋体" w:hAnsi="宋体" w:eastAsia="宋体"/>
          <w:sz w:val="21"/>
        </w:rPr>
      </w:pPr>
      <w:r>
        <w:rPr>
          <w:rFonts w:hint="eastAsia" w:ascii="宋体" w:hAnsi="宋体" w:eastAsia="宋体"/>
          <w:sz w:val="21"/>
        </w:rPr>
        <w:t xml:space="preserve">强化改装结束时未进入启动区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 xml:space="preserve">机器人应在强化改装阶段结束前放入本方场地启动区内。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 xml:space="preserve">犯规方机器人将被判禁用。 </w:t>
      </w:r>
    </w:p>
    <w:p>
      <w:pPr>
        <w:pStyle w:val="72"/>
        <w:adjustRightInd w:val="0"/>
        <w:snapToGrid w:val="0"/>
        <w:spacing w:line="360" w:lineRule="auto"/>
        <w:rPr>
          <w:rFonts w:ascii="宋体" w:hAnsi="宋体" w:eastAsia="宋体"/>
          <w:sz w:val="21"/>
        </w:rPr>
      </w:pPr>
      <w:r>
        <w:rPr>
          <w:rFonts w:ascii="宋体" w:hAnsi="宋体" w:eastAsia="宋体"/>
          <w:sz w:val="21"/>
        </w:rPr>
        <w:t xml:space="preserve">改装后机器人与检录状态不符 </w:t>
      </w:r>
    </w:p>
    <w:p>
      <w:pPr>
        <w:pStyle w:val="96"/>
        <w:adjustRightInd w:val="0"/>
        <w:snapToGrid w:val="0"/>
        <w:spacing w:line="360" w:lineRule="auto"/>
        <w:ind w:firstLine="420"/>
        <w:rPr>
          <w:rFonts w:ascii="宋体" w:hAnsi="宋体" w:eastAsia="宋体"/>
          <w:sz w:val="21"/>
          <w:szCs w:val="21"/>
        </w:rPr>
      </w:pPr>
      <w:r>
        <w:rPr>
          <w:rStyle w:val="29"/>
          <w:rFonts w:ascii="宋体" w:hAnsi="宋体" w:eastAsia="宋体"/>
          <w:sz w:val="21"/>
          <w14:scene3d w14:prst="orthographicFront">
            <w14:lightRig w14:rig="threePt" w14:dir="t">
              <w14:rot w14:lat="0" w14:lon="0" w14:rev="0"/>
            </w14:lightRig>
          </w14:scene3d>
        </w:rPr>
        <w:t>强化改装阶段后的机器人应符合参赛检录时该机器人强化改装状态。</w:t>
      </w:r>
      <w:r>
        <w:rPr>
          <w:rFonts w:ascii="宋体" w:hAnsi="宋体" w:eastAsia="宋体" w:cs="宋体"/>
          <w:kern w:val="0"/>
          <w:sz w:val="21"/>
          <w:szCs w:val="21"/>
          <w:lang w:bidi="ar"/>
        </w:rPr>
        <w:t xml:space="preserve"> </w:t>
      </w:r>
    </w:p>
    <w:p>
      <w:pPr>
        <w:pStyle w:val="28"/>
        <w:numPr>
          <w:ilvl w:val="0"/>
          <w:numId w:val="19"/>
        </w:numPr>
        <w:adjustRightInd w:val="0"/>
        <w:snapToGrid w:val="0"/>
        <w:spacing w:line="360" w:lineRule="auto"/>
        <w:ind w:firstLineChars="0"/>
        <w:rPr>
          <w:rFonts w:ascii="宋体" w:hAnsi="宋体" w:eastAsia="宋体"/>
          <w:sz w:val="21"/>
        </w:rPr>
      </w:pPr>
      <w:r>
        <w:rPr>
          <w:rFonts w:ascii="宋体" w:hAnsi="宋体" w:eastAsia="宋体"/>
          <w:sz w:val="21"/>
        </w:rPr>
        <w:t>犯规方将被判红牌</w:t>
      </w:r>
      <w:r>
        <w:rPr>
          <w:rFonts w:hint="eastAsia" w:ascii="宋体" w:hAnsi="宋体" w:eastAsia="宋体"/>
          <w:sz w:val="21"/>
        </w:rPr>
        <w:t>。</w:t>
      </w:r>
    </w:p>
    <w:p>
      <w:pPr>
        <w:adjustRightInd w:val="0"/>
        <w:snapToGrid w:val="0"/>
        <w:spacing w:line="240" w:lineRule="atLeast"/>
      </w:pPr>
      <w:bookmarkStart w:id="60" w:name="_Toc1797027037"/>
      <w:bookmarkStart w:id="61" w:name="_Toc22124"/>
    </w:p>
    <w:p>
      <w:pPr>
        <w:adjustRightInd w:val="0"/>
        <w:snapToGrid w:val="0"/>
        <w:spacing w:line="240" w:lineRule="atLeast"/>
        <w:rPr>
          <w:b/>
          <w:bCs/>
          <w:sz w:val="24"/>
          <w:szCs w:val="32"/>
        </w:rPr>
      </w:pPr>
      <w:r>
        <w:rPr>
          <w:rFonts w:hint="eastAsia"/>
          <w:b/>
          <w:bCs/>
          <w:sz w:val="24"/>
          <w:szCs w:val="32"/>
        </w:rPr>
        <w:t>赛事规则最终解释权归本届竞赛组委会所有。</w:t>
      </w:r>
    </w:p>
    <w:p>
      <w:pPr>
        <w:adjustRightInd w:val="0"/>
        <w:snapToGrid w:val="0"/>
        <w:spacing w:line="240" w:lineRule="atLeast"/>
        <w:rPr>
          <w:lang w:eastAsia="zh-Hans"/>
        </w:rPr>
      </w:pPr>
      <w:r>
        <w:br w:type="page"/>
      </w:r>
      <w:bookmarkEnd w:id="60"/>
      <w:bookmarkEnd w:id="61"/>
    </w:p>
    <w:p>
      <w:pPr>
        <w:pStyle w:val="33"/>
        <w:adjustRightInd w:val="0"/>
        <w:snapToGrid w:val="0"/>
        <w:spacing w:before="0" w:after="0" w:line="240" w:lineRule="atLeast"/>
        <w:ind w:left="420" w:hanging="420"/>
        <w:rPr>
          <w:rFonts w:ascii="宋体" w:hAnsi="宋体" w:eastAsia="宋体"/>
          <w:color w:val="auto"/>
          <w:sz w:val="28"/>
        </w:rPr>
      </w:pPr>
      <w:bookmarkStart w:id="62" w:name="_Toc2136631433"/>
      <w:bookmarkStart w:id="63" w:name="_Toc21578"/>
      <w:bookmarkStart w:id="64" w:name="_Toc837970952_WPSOffice_Level1"/>
      <w:r>
        <w:rPr>
          <w:rFonts w:hint="eastAsia" w:ascii="宋体" w:hAnsi="宋体" w:eastAsia="宋体"/>
          <w:color w:val="auto"/>
          <w:sz w:val="28"/>
        </w:rPr>
        <w:t>附录</w:t>
      </w:r>
      <w:r>
        <w:rPr>
          <w:rFonts w:ascii="宋体" w:hAnsi="宋体" w:eastAsia="宋体"/>
          <w:color w:val="auto"/>
          <w:sz w:val="28"/>
        </w:rPr>
        <w:t>1：</w:t>
      </w:r>
      <w:r>
        <w:rPr>
          <w:rFonts w:hint="eastAsia" w:ascii="宋体" w:hAnsi="宋体" w:eastAsia="宋体"/>
          <w:color w:val="auto"/>
          <w:sz w:val="28"/>
        </w:rPr>
        <w:t>MakeX 高中组 能源革新机器人自检表</w:t>
      </w:r>
      <w:bookmarkEnd w:id="62"/>
      <w:bookmarkEnd w:id="63"/>
      <w:bookmarkEnd w:id="64"/>
    </w:p>
    <w:tbl>
      <w:tblPr>
        <w:tblStyle w:val="18"/>
        <w:tblW w:w="9549" w:type="dxa"/>
        <w:tblInd w:w="-577" w:type="dxa"/>
        <w:tblLayout w:type="fixed"/>
        <w:tblCellMar>
          <w:top w:w="0" w:type="dxa"/>
          <w:left w:w="108" w:type="dxa"/>
          <w:bottom w:w="0" w:type="dxa"/>
          <w:right w:w="108" w:type="dxa"/>
        </w:tblCellMar>
      </w:tblPr>
      <w:tblGrid>
        <w:gridCol w:w="851"/>
        <w:gridCol w:w="1843"/>
        <w:gridCol w:w="6142"/>
        <w:gridCol w:w="713"/>
      </w:tblGrid>
      <w:tr>
        <w:tblPrEx>
          <w:tblCellMar>
            <w:top w:w="0" w:type="dxa"/>
            <w:left w:w="108" w:type="dxa"/>
            <w:bottom w:w="0" w:type="dxa"/>
            <w:right w:w="108" w:type="dxa"/>
          </w:tblCellMar>
        </w:tblPrEx>
        <w:trPr>
          <w:trHeight w:val="327" w:hRule="atLeast"/>
        </w:trPr>
        <w:tc>
          <w:tcPr>
            <w:tcW w:w="9549" w:type="dxa"/>
            <w:gridSpan w:val="4"/>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sz w:val="18"/>
              </w:rPr>
            </w:pPr>
            <w:r>
              <w:rPr>
                <w:rFonts w:hint="eastAsia"/>
                <w:b/>
                <w:bCs/>
                <w:sz w:val="18"/>
              </w:rPr>
              <w:t>机器人尺寸及重量</w:t>
            </w:r>
          </w:p>
        </w:tc>
      </w:tr>
      <w:tr>
        <w:tblPrEx>
          <w:tblCellMar>
            <w:top w:w="0" w:type="dxa"/>
            <w:left w:w="108" w:type="dxa"/>
            <w:bottom w:w="0" w:type="dxa"/>
            <w:right w:w="108" w:type="dxa"/>
          </w:tblCellMar>
        </w:tblPrEx>
        <w:trPr>
          <w:trHeight w:val="226"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b/>
                <w:bCs/>
                <w:sz w:val="18"/>
              </w:rPr>
            </w:pPr>
            <w:r>
              <w:rPr>
                <w:rFonts w:hint="eastAsia"/>
                <w:b/>
                <w:bCs/>
                <w:sz w:val="18"/>
              </w:rPr>
              <w:t xml:space="preserve">序号 </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b/>
                <w:bCs/>
                <w:sz w:val="18"/>
              </w:rPr>
            </w:pPr>
            <w:r>
              <w:rPr>
                <w:rFonts w:hint="eastAsia"/>
                <w:b/>
                <w:bCs/>
                <w:sz w:val="18"/>
              </w:rPr>
              <w:t xml:space="preserve">检查项目 </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具体要求</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b/>
                <w:bCs/>
                <w:sz w:val="18"/>
              </w:rPr>
            </w:pPr>
            <w:r>
              <w:rPr>
                <w:rFonts w:hint="eastAsia"/>
                <w:b/>
                <w:bCs/>
                <w:sz w:val="18"/>
              </w:rPr>
              <w:t xml:space="preserve">状态 </w:t>
            </w:r>
          </w:p>
        </w:tc>
      </w:tr>
      <w:tr>
        <w:tblPrEx>
          <w:tblCellMar>
            <w:top w:w="0" w:type="dxa"/>
            <w:left w:w="108" w:type="dxa"/>
            <w:bottom w:w="0" w:type="dxa"/>
            <w:right w:w="108" w:type="dxa"/>
          </w:tblCellMar>
        </w:tblPrEx>
        <w:trPr>
          <w:trHeight w:val="255" w:hRule="atLeast"/>
        </w:trPr>
        <w:tc>
          <w:tcPr>
            <w:tcW w:w="851" w:type="dxa"/>
            <w:vMerge w:val="restart"/>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w:t>
            </w:r>
          </w:p>
        </w:tc>
        <w:tc>
          <w:tcPr>
            <w:tcW w:w="1843" w:type="dxa"/>
            <w:vMerge w:val="restart"/>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机器人尺寸</w:t>
            </w:r>
          </w:p>
        </w:tc>
        <w:tc>
          <w:tcPr>
            <w:tcW w:w="6142" w:type="dxa"/>
            <w:tcBorders>
              <w:top w:val="single" w:color="DEE0E3" w:sz="8" w:space="0"/>
              <w:left w:val="single" w:color="DEE0E3" w:sz="8" w:space="0"/>
              <w:bottom w:val="nil"/>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每只队伍允许使用一台机器人参赛</w:t>
            </w:r>
          </w:p>
          <w:p>
            <w:pPr>
              <w:pStyle w:val="105"/>
              <w:adjustRightInd w:val="0"/>
              <w:snapToGrid w:val="0"/>
              <w:spacing w:line="240" w:lineRule="atLeast"/>
              <w:rPr>
                <w:sz w:val="18"/>
              </w:rPr>
            </w:pPr>
            <w:r>
              <w:rPr>
                <w:rFonts w:hint="eastAsia"/>
                <w:sz w:val="18"/>
              </w:rPr>
              <w:t>初始尺寸为机器人比赛开始启动前处于静止状态的尺寸。</w:t>
            </w:r>
          </w:p>
        </w:tc>
        <w:tc>
          <w:tcPr>
            <w:tcW w:w="713" w:type="dxa"/>
            <w:vMerge w:val="restart"/>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77" w:hRule="atLeast"/>
        </w:trPr>
        <w:tc>
          <w:tcPr>
            <w:tcW w:w="851"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184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6142" w:type="dxa"/>
            <w:tcBorders>
              <w:top w:val="nil"/>
              <w:left w:val="single" w:color="DEE0E3" w:sz="8" w:space="0"/>
              <w:bottom w:val="nil"/>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最大尺寸指机器人在操作的过程中运动伸展至极限状态之尺寸。</w:t>
            </w:r>
          </w:p>
        </w:tc>
        <w:tc>
          <w:tcPr>
            <w:tcW w:w="71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77" w:hRule="atLeast"/>
        </w:trPr>
        <w:tc>
          <w:tcPr>
            <w:tcW w:w="851"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184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6142" w:type="dxa"/>
            <w:tcBorders>
              <w:top w:val="nil"/>
              <w:left w:val="single" w:color="DEE0E3" w:sz="8" w:space="0"/>
              <w:bottom w:val="nil"/>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机器人在比赛开始时的初始尺寸要求为：500mm（长） x500mm（宽） x 700mm（高）。</w:t>
            </w:r>
          </w:p>
        </w:tc>
        <w:tc>
          <w:tcPr>
            <w:tcW w:w="71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77" w:hRule="atLeast"/>
        </w:trPr>
        <w:tc>
          <w:tcPr>
            <w:tcW w:w="851"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184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6142" w:type="dxa"/>
            <w:tcBorders>
              <w:top w:val="nil"/>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机器人在强化改装后，再次启动前的初始尺寸要求：500mm（长） x500mm（宽） x不限（高）。</w:t>
            </w:r>
          </w:p>
        </w:tc>
        <w:tc>
          <w:tcPr>
            <w:tcW w:w="71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474"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2</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机器人重量</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每个机器人不可超过 10kg （指比赛过程中机器人任意时刻最大净重量，包含电池）。</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441"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3</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队旗</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旗面选用柔性材料，尺寸不小于400mm（长）*300mm（宽）。旗帜挂绳采用柔性材料</w:t>
            </w:r>
          </w:p>
        </w:tc>
        <w:tc>
          <w:tcPr>
            <w:tcW w:w="713" w:type="dxa"/>
            <w:tcBorders>
              <w:top w:val="single" w:color="DEE0E3" w:sz="8" w:space="0"/>
              <w:left w:val="single" w:color="DEE0E3" w:sz="8" w:space="0"/>
              <w:bottom w:val="single" w:color="DEE0E3" w:sz="8" w:space="0"/>
              <w:right w:val="single" w:color="DEE0E3" w:sz="8" w:space="0"/>
            </w:tcBorders>
            <w:shd w:val="clear" w:color="auto" w:fill="auto"/>
            <w:noWrap/>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226" w:hRule="atLeast"/>
        </w:trPr>
        <w:tc>
          <w:tcPr>
            <w:tcW w:w="9549" w:type="dxa"/>
            <w:gridSpan w:val="4"/>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安全性</w:t>
            </w:r>
          </w:p>
        </w:tc>
      </w:tr>
      <w:tr>
        <w:tblPrEx>
          <w:tblCellMar>
            <w:top w:w="0" w:type="dxa"/>
            <w:left w:w="108" w:type="dxa"/>
            <w:bottom w:w="0" w:type="dxa"/>
            <w:right w:w="108" w:type="dxa"/>
          </w:tblCellMar>
        </w:tblPrEx>
        <w:trPr>
          <w:trHeight w:val="255"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4</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危险结构</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在机器装卸、搬运、使用过程中可能对人员造成伤害的结构，需具备安全防护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rPr>
          <w:trHeight w:val="127"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5</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破坏场地</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在机器装卸、搬运、使用过程中不可有明显的破坏场地行为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127"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6</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大功率工具</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在装卸、操作过程中无大功率危险器材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123"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7</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不安全储能设备</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不安全储能设备（弹簧）等在使用的过程中应保证安全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255"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8</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人员安全</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参赛</w:t>
            </w:r>
            <w:r>
              <w:rPr>
                <w:rFonts w:hint="eastAsia" w:ascii="宋体" w:hAnsi="宋体" w:eastAsia="宋体"/>
                <w:sz w:val="18"/>
              </w:rPr>
              <w:t>选手</w:t>
            </w:r>
            <w:r>
              <w:rPr>
                <w:rFonts w:hint="eastAsia"/>
                <w:sz w:val="18"/>
              </w:rPr>
              <w:t>佩戴护目镜；留长发者扎起；参赛</w:t>
            </w:r>
            <w:r>
              <w:rPr>
                <w:rFonts w:hint="eastAsia" w:ascii="宋体" w:hAnsi="宋体" w:eastAsia="宋体"/>
                <w:sz w:val="18"/>
              </w:rPr>
              <w:t>选手</w:t>
            </w:r>
            <w:r>
              <w:rPr>
                <w:rFonts w:hint="eastAsia"/>
                <w:sz w:val="18"/>
              </w:rPr>
              <w:t>禁止穿露脚趾的鞋进入场地。</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383"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9</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严格禁止的材料</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易燃气体、烟火相关设备、液压件、含水银的开关、暴露的危险材料、不安全的配重、可能造成纠缠和比赛延迟的设计、锋利边角、含有液体或胶状物的材料、可能将机器人上电流导致场地上的任何零件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293" w:hRule="atLeast"/>
        </w:trPr>
        <w:tc>
          <w:tcPr>
            <w:tcW w:w="9549" w:type="dxa"/>
            <w:gridSpan w:val="4"/>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机器人模块</w:t>
            </w:r>
          </w:p>
        </w:tc>
      </w:tr>
      <w:tr>
        <w:tblPrEx>
          <w:tblCellMar>
            <w:top w:w="0" w:type="dxa"/>
            <w:left w:w="108" w:type="dxa"/>
            <w:bottom w:w="0" w:type="dxa"/>
            <w:right w:w="108" w:type="dxa"/>
          </w:tblCellMar>
        </w:tblPrEx>
        <w:trPr>
          <w:trHeight w:val="123"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10</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遥控器</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使用比赛指定遥控器，且仅由操作手使用 。</w:t>
            </w:r>
          </w:p>
        </w:tc>
        <w:tc>
          <w:tcPr>
            <w:tcW w:w="713" w:type="dxa"/>
            <w:tcBorders>
              <w:top w:val="single" w:color="DEE0E3" w:sz="8" w:space="0"/>
              <w:left w:val="single" w:color="DEE0E3" w:sz="8" w:space="0"/>
              <w:bottom w:val="single" w:color="DEE0E3" w:sz="8" w:space="0"/>
              <w:right w:val="single" w:color="DEE0E3" w:sz="8" w:space="0"/>
            </w:tcBorders>
            <w:shd w:val="clear" w:color="auto" w:fill="auto"/>
            <w:noWrap/>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123"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11</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主控</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使用大赛指定主控；且仅有一个和遥控器配对的接收模块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375"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12</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电源</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使用比赛指定参数的电池作为供电模块并且安全的固定在机器人内；每台机器人仅能使用一块电池（除已规定的激光瞄准装置外）；详细参数为：3S航模电池、输出电压11.1 -11.2v、放电倍率25c-30c。</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247"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13</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电池管理模块</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 xml:space="preserve">电池管理模块能够按照比赛系统要求配合运行：完成配合通电、断电、开启自动程序共三个动作。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510" w:hRule="atLeast"/>
        </w:trPr>
        <w:tc>
          <w:tcPr>
            <w:tcW w:w="851" w:type="dxa"/>
            <w:vMerge w:val="restart"/>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14</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自定制零件及辅材</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40" w:lineRule="atLeast"/>
              <w:rPr>
                <w:sz w:val="18"/>
              </w:rPr>
            </w:pPr>
            <w:r>
              <w:rPr>
                <w:rFonts w:hint="eastAsia"/>
                <w:sz w:val="18"/>
              </w:rPr>
              <w:t>可使用自定制零件：板材、型材、3D 打印件、金属、木材、塑料、橡胶、磁铁； 辅材使用要求：允许使用绳子、电缆、线、弹簧、橡皮筋、皮管、医用橡皮管、冲孔薄板、注塑成型制品；可以使用低集成度的完整商业产品组件；不允许使用高集成度的完整商业产品组件。</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77" w:hRule="atLeast"/>
        </w:trPr>
        <w:tc>
          <w:tcPr>
            <w:tcW w:w="851"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1843" w:type="dxa"/>
            <w:vMerge w:val="restart"/>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可发光、声传感器</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 xml:space="preserve">除功率小于5mW的激光瞄准装置（仅限一个）和主控、传感器自带指示灯光、配合传感器使用的光源之外，无任何光源；除主板的蜂鸣器之外不允许其他的发声装置。 </w:t>
            </w:r>
          </w:p>
        </w:tc>
        <w:tc>
          <w:tcPr>
            <w:tcW w:w="713" w:type="dxa"/>
            <w:vMerge w:val="restart"/>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370"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15</w:t>
            </w:r>
          </w:p>
        </w:tc>
        <w:tc>
          <w:tcPr>
            <w:tcW w:w="184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 xml:space="preserve">若使用教学用激光笔改装的激光瞄准装置需要单独供电，仅可使用装置内置的配对电池（如干电池），且不得向机器人电力系统输送能量。如是非常见的激光瞄准设备，请提供相应型号及参数以供查询验证。 </w:t>
            </w:r>
          </w:p>
        </w:tc>
        <w:tc>
          <w:tcPr>
            <w:tcW w:w="71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247" w:hRule="atLeast"/>
        </w:trPr>
        <w:tc>
          <w:tcPr>
            <w:tcW w:w="851" w:type="dxa"/>
            <w:vMerge w:val="restart"/>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16</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舵机</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参赛</w:t>
            </w:r>
            <w:r>
              <w:rPr>
                <w:rFonts w:hint="eastAsia" w:ascii="宋体" w:hAnsi="宋体" w:eastAsia="宋体"/>
                <w:sz w:val="18"/>
              </w:rPr>
              <w:t>队伍</w:t>
            </w:r>
            <w:r>
              <w:rPr>
                <w:rFonts w:hint="eastAsia"/>
                <w:sz w:val="18"/>
              </w:rPr>
              <w:t>仅能使用指定型号的智能舵机（MS-12A），一台机器人上可使用的舵机数量最多6个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77" w:hRule="atLeast"/>
        </w:trPr>
        <w:tc>
          <w:tcPr>
            <w:tcW w:w="851"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1843" w:type="dxa"/>
            <w:vMerge w:val="restart"/>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电机</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机器人须使用指定的直流电机、编码电机（37直流电机和180智能编码电机；数量最多共13个），以保证比赛公平性。</w:t>
            </w:r>
          </w:p>
        </w:tc>
        <w:tc>
          <w:tcPr>
            <w:tcW w:w="713" w:type="dxa"/>
            <w:vMerge w:val="restart"/>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247"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17</w:t>
            </w:r>
          </w:p>
        </w:tc>
        <w:tc>
          <w:tcPr>
            <w:tcW w:w="184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机器人须使用指定的无刷电机（2823/2824无刷电机；数量最多共2个），以保证比赛公平性。</w:t>
            </w:r>
          </w:p>
        </w:tc>
        <w:tc>
          <w:tcPr>
            <w:tcW w:w="713" w:type="dxa"/>
            <w:vMerge w:val="continue"/>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123"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18</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机器人尖角包裹</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机器人的外露尖锐结构需加装海绵条予以包裹。</w:t>
            </w:r>
          </w:p>
        </w:tc>
        <w:tc>
          <w:tcPr>
            <w:tcW w:w="713" w:type="dxa"/>
            <w:tcBorders>
              <w:top w:val="single" w:color="DEE0E3" w:sz="8" w:space="0"/>
              <w:left w:val="single" w:color="DEE0E3" w:sz="8" w:space="0"/>
              <w:bottom w:val="single" w:color="DEE0E3" w:sz="8" w:space="0"/>
              <w:right w:val="single" w:color="DEE0E3" w:sz="8" w:space="0"/>
            </w:tcBorders>
            <w:shd w:val="clear" w:color="auto" w:fill="auto"/>
            <w:noWrap/>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123"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19</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分离/脱落</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机器人不得出现可在比赛中与主体主动分离部分。</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119"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20</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干扰</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不能干扰其他机器人的电子和传感器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251"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21</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ascii="微软雅黑" w:hAnsi="微软雅黑" w:eastAsia="微软雅黑" w:cs="微软雅黑"/>
                <w:b/>
                <w:bCs/>
                <w:sz w:val="18"/>
              </w:rPr>
              <w:t>队伍</w:t>
            </w:r>
            <w:r>
              <w:rPr>
                <w:rFonts w:hint="eastAsia"/>
                <w:b/>
                <w:bCs/>
                <w:sz w:val="18"/>
              </w:rPr>
              <w:t>编号</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需使用印刷字体需为微软雅黑字体、黑色加粗、130字号（单个字符高于3.5cm）且背景色为浅色。</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r>
        <w:tblPrEx>
          <w:tblCellMar>
            <w:top w:w="0" w:type="dxa"/>
            <w:left w:w="108" w:type="dxa"/>
            <w:bottom w:w="0" w:type="dxa"/>
            <w:right w:w="108" w:type="dxa"/>
          </w:tblCellMar>
        </w:tblPrEx>
        <w:trPr>
          <w:trHeight w:val="119" w:hRule="atLeast"/>
        </w:trPr>
        <w:tc>
          <w:tcPr>
            <w:tcW w:w="851"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2</w:t>
            </w:r>
            <w:r>
              <w:rPr>
                <w:b/>
                <w:bCs/>
                <w:sz w:val="18"/>
              </w:rPr>
              <w:t>2</w:t>
            </w:r>
          </w:p>
        </w:tc>
        <w:tc>
          <w:tcPr>
            <w:tcW w:w="184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jc w:val="center"/>
              <w:rPr>
                <w:b/>
                <w:bCs/>
                <w:sz w:val="18"/>
              </w:rPr>
            </w:pPr>
            <w:r>
              <w:rPr>
                <w:rFonts w:hint="eastAsia"/>
                <w:b/>
                <w:bCs/>
                <w:sz w:val="18"/>
              </w:rPr>
              <w:t>场地污染</w:t>
            </w:r>
          </w:p>
        </w:tc>
        <w:tc>
          <w:tcPr>
            <w:tcW w:w="6142"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r>
              <w:rPr>
                <w:rFonts w:hint="eastAsia"/>
                <w:sz w:val="18"/>
              </w:rPr>
              <w:t>机器人使用的润滑油等材料不得污染赛场或其他机器人 。</w:t>
            </w:r>
          </w:p>
        </w:tc>
        <w:tc>
          <w:tcPr>
            <w:tcW w:w="713" w:type="dxa"/>
            <w:tcBorders>
              <w:top w:val="single" w:color="DEE0E3" w:sz="8" w:space="0"/>
              <w:left w:val="single" w:color="DEE0E3" w:sz="8" w:space="0"/>
              <w:bottom w:val="single" w:color="DEE0E3" w:sz="8" w:space="0"/>
              <w:right w:val="single" w:color="DEE0E3" w:sz="8" w:space="0"/>
            </w:tcBorders>
            <w:shd w:val="clear" w:color="auto" w:fill="auto"/>
            <w:vAlign w:val="center"/>
          </w:tcPr>
          <w:p>
            <w:pPr>
              <w:pStyle w:val="105"/>
              <w:adjustRightInd w:val="0"/>
              <w:snapToGrid w:val="0"/>
              <w:spacing w:line="200" w:lineRule="atLeast"/>
              <w:rPr>
                <w:sz w:val="18"/>
              </w:rPr>
            </w:pPr>
          </w:p>
        </w:tc>
      </w:tr>
    </w:tbl>
    <w:p>
      <w:pPr>
        <w:pStyle w:val="33"/>
        <w:adjustRightInd w:val="0"/>
        <w:snapToGrid w:val="0"/>
        <w:spacing w:before="0" w:after="0" w:line="240" w:lineRule="atLeast"/>
        <w:ind w:left="420" w:hanging="420"/>
        <w:rPr>
          <w:rFonts w:ascii="宋体" w:hAnsi="宋体" w:eastAsia="宋体"/>
          <w:color w:val="auto"/>
          <w:sz w:val="28"/>
        </w:rPr>
      </w:pPr>
      <w:bookmarkStart w:id="65" w:name="_Toc580033238_WPSOffice_Level1"/>
      <w:bookmarkStart w:id="66" w:name="_Toc1662117333"/>
      <w:bookmarkStart w:id="67" w:name="_Toc10319"/>
      <w:bookmarkStart w:id="68" w:name="_Toc1190357333_WPSOffice_Level1"/>
      <w:r>
        <w:rPr>
          <w:rFonts w:hint="eastAsia" w:ascii="宋体" w:hAnsi="宋体" w:eastAsia="宋体"/>
          <w:color w:val="auto"/>
          <w:sz w:val="28"/>
        </w:rPr>
        <w:t>附录</w:t>
      </w:r>
      <w:r>
        <w:rPr>
          <w:rFonts w:ascii="宋体" w:hAnsi="宋体" w:eastAsia="宋体"/>
          <w:color w:val="auto"/>
          <w:sz w:val="28"/>
        </w:rPr>
        <w:t>2：</w:t>
      </w:r>
      <w:r>
        <w:rPr>
          <w:rFonts w:hint="eastAsia" w:ascii="宋体" w:hAnsi="宋体" w:eastAsia="宋体"/>
          <w:color w:val="auto"/>
          <w:sz w:val="28"/>
        </w:rPr>
        <w:t>MakeX Challenge 能源革新犯规判罚梳理表</w:t>
      </w:r>
      <w:bookmarkEnd w:id="65"/>
    </w:p>
    <w:tbl>
      <w:tblPr>
        <w:tblStyle w:val="19"/>
        <w:tblW w:w="10065"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701"/>
        <w:gridCol w:w="3119"/>
        <w:gridCol w:w="709"/>
        <w:gridCol w:w="708"/>
        <w:gridCol w:w="851"/>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widowControl/>
              <w:jc w:val="center"/>
              <w:textAlignment w:val="center"/>
              <w:rPr>
                <w:rFonts w:ascii="思源黑体 CN Bold" w:hAnsi="思源黑体 CN Bold" w:eastAsia="思源黑体 CN Bold" w:cs="思源黑体 CN Bold"/>
                <w:b/>
                <w:bCs/>
                <w:color w:val="000000"/>
                <w:szCs w:val="20"/>
              </w:rPr>
            </w:pPr>
            <w:r>
              <w:rPr>
                <w:rFonts w:hint="eastAsia" w:ascii="微软雅黑" w:hAnsi="微软雅黑" w:eastAsia="微软雅黑" w:cs="微软雅黑"/>
                <w:b/>
                <w:bCs/>
                <w:color w:val="000000"/>
                <w:kern w:val="0"/>
                <w:szCs w:val="20"/>
                <w:lang w:bidi="ar"/>
              </w:rPr>
              <w:t>违规</w:t>
            </w:r>
            <w:r>
              <w:rPr>
                <w:rFonts w:hint="eastAsia" w:ascii="Yu Gothic" w:hAnsi="Yu Gothic" w:eastAsia="Yu Gothic" w:cs="Yu Gothic"/>
                <w:b/>
                <w:bCs/>
                <w:color w:val="000000"/>
                <w:kern w:val="0"/>
                <w:szCs w:val="20"/>
                <w:lang w:bidi="ar"/>
              </w:rPr>
              <w:t>范</w:t>
            </w:r>
            <w:r>
              <w:rPr>
                <w:rFonts w:hint="eastAsia" w:ascii="微软雅黑" w:hAnsi="微软雅黑" w:eastAsia="微软雅黑" w:cs="微软雅黑"/>
                <w:b/>
                <w:bCs/>
                <w:color w:val="000000"/>
                <w:kern w:val="0"/>
                <w:szCs w:val="20"/>
                <w:lang w:bidi="ar"/>
              </w:rPr>
              <w:t>围</w:t>
            </w:r>
          </w:p>
        </w:tc>
        <w:tc>
          <w:tcPr>
            <w:tcW w:w="1701" w:type="dxa"/>
            <w:vAlign w:val="center"/>
          </w:tcPr>
          <w:p>
            <w:pPr>
              <w:widowControl/>
              <w:jc w:val="center"/>
              <w:textAlignment w:val="center"/>
              <w:rPr>
                <w:rFonts w:ascii="思源黑体 CN Bold" w:hAnsi="思源黑体 CN Bold" w:eastAsia="思源黑体 CN Bold" w:cs="思源黑体 CN Bold"/>
                <w:b/>
                <w:bCs/>
                <w:color w:val="000000"/>
                <w:szCs w:val="20"/>
              </w:rPr>
            </w:pPr>
            <w:r>
              <w:rPr>
                <w:rFonts w:hint="eastAsia" w:ascii="微软雅黑" w:hAnsi="微软雅黑" w:eastAsia="微软雅黑" w:cs="微软雅黑"/>
                <w:b/>
                <w:bCs/>
                <w:color w:val="000000"/>
                <w:kern w:val="0"/>
                <w:szCs w:val="20"/>
                <w:lang w:bidi="ar"/>
              </w:rPr>
              <w:t>违规项</w:t>
            </w:r>
            <w:r>
              <w:rPr>
                <w:rFonts w:hint="eastAsia" w:ascii="Yu Gothic" w:hAnsi="Yu Gothic" w:eastAsia="Yu Gothic" w:cs="Yu Gothic"/>
                <w:b/>
                <w:bCs/>
                <w:color w:val="000000"/>
                <w:kern w:val="0"/>
                <w:szCs w:val="20"/>
                <w:lang w:bidi="ar"/>
              </w:rPr>
              <w:t>目</w:t>
            </w:r>
          </w:p>
        </w:tc>
        <w:tc>
          <w:tcPr>
            <w:tcW w:w="3119" w:type="dxa"/>
            <w:vAlign w:val="center"/>
          </w:tcPr>
          <w:p>
            <w:pPr>
              <w:widowControl/>
              <w:jc w:val="center"/>
              <w:textAlignment w:val="center"/>
              <w:rPr>
                <w:rFonts w:ascii="思源黑体 CN Bold" w:hAnsi="思源黑体 CN Bold" w:eastAsia="思源黑体 CN Bold" w:cs="思源黑体 CN Bold"/>
                <w:b/>
                <w:bCs/>
                <w:color w:val="000000"/>
                <w:szCs w:val="20"/>
              </w:rPr>
            </w:pPr>
            <w:r>
              <w:rPr>
                <w:rFonts w:hint="eastAsia" w:ascii="微软雅黑" w:hAnsi="微软雅黑" w:eastAsia="微软雅黑" w:cs="微软雅黑"/>
                <w:b/>
                <w:bCs/>
                <w:color w:val="000000"/>
                <w:kern w:val="0"/>
                <w:szCs w:val="20"/>
                <w:lang w:bidi="ar"/>
              </w:rPr>
              <w:t>规则</w:t>
            </w:r>
            <w:r>
              <w:rPr>
                <w:rFonts w:hint="eastAsia" w:ascii="Yu Gothic" w:hAnsi="Yu Gothic" w:eastAsia="Yu Gothic" w:cs="Yu Gothic"/>
                <w:b/>
                <w:bCs/>
                <w:color w:val="000000"/>
                <w:kern w:val="0"/>
                <w:szCs w:val="20"/>
                <w:lang w:bidi="ar"/>
              </w:rPr>
              <w:t>概述</w:t>
            </w:r>
          </w:p>
        </w:tc>
        <w:tc>
          <w:tcPr>
            <w:tcW w:w="709" w:type="dxa"/>
            <w:vAlign w:val="center"/>
          </w:tcPr>
          <w:p>
            <w:pPr>
              <w:widowControl/>
              <w:jc w:val="center"/>
              <w:textAlignment w:val="center"/>
              <w:rPr>
                <w:rFonts w:ascii="思源黑体 CN Bold" w:hAnsi="思源黑体 CN Bold" w:eastAsia="思源黑体 CN Bold" w:cs="思源黑体 CN Bold"/>
                <w:b/>
                <w:bCs/>
                <w:color w:val="000000"/>
                <w:szCs w:val="20"/>
              </w:rPr>
            </w:pPr>
            <w:r>
              <w:rPr>
                <w:rFonts w:hint="eastAsia" w:ascii="微软雅黑" w:hAnsi="微软雅黑" w:eastAsia="微软雅黑" w:cs="微软雅黑"/>
                <w:b/>
                <w:bCs/>
                <w:color w:val="000000"/>
                <w:kern w:val="0"/>
                <w:szCs w:val="20"/>
                <w:lang w:bidi="ar"/>
              </w:rPr>
              <w:t>违</w:t>
            </w:r>
            <w:r>
              <w:rPr>
                <w:rFonts w:hint="eastAsia" w:ascii="Yu Gothic" w:hAnsi="Yu Gothic" w:eastAsia="Yu Gothic" w:cs="Yu Gothic"/>
                <w:b/>
                <w:bCs/>
                <w:color w:val="000000"/>
                <w:kern w:val="0"/>
                <w:szCs w:val="20"/>
                <w:lang w:bidi="ar"/>
              </w:rPr>
              <w:t>例</w:t>
            </w:r>
          </w:p>
        </w:tc>
        <w:tc>
          <w:tcPr>
            <w:tcW w:w="708" w:type="dxa"/>
            <w:vAlign w:val="center"/>
          </w:tcPr>
          <w:p>
            <w:pPr>
              <w:widowControl/>
              <w:jc w:val="center"/>
              <w:textAlignment w:val="center"/>
              <w:rPr>
                <w:rFonts w:ascii="思源黑体 CN Bold" w:hAnsi="思源黑体 CN Bold" w:eastAsia="思源黑体 CN Bold" w:cs="思源黑体 CN Bold"/>
                <w:b/>
                <w:bCs/>
                <w:color w:val="000000"/>
                <w:szCs w:val="20"/>
              </w:rPr>
            </w:pPr>
            <w:r>
              <w:rPr>
                <w:rFonts w:hint="eastAsia" w:ascii="思源黑体 CN Bold" w:hAnsi="思源黑体 CN Bold" w:eastAsia="思源黑体 CN Bold" w:cs="思源黑体 CN Bold"/>
                <w:b/>
                <w:bCs/>
                <w:color w:val="000000"/>
                <w:kern w:val="0"/>
                <w:szCs w:val="20"/>
                <w:lang w:bidi="ar"/>
              </w:rPr>
              <w:t>黄牌</w:t>
            </w:r>
          </w:p>
        </w:tc>
        <w:tc>
          <w:tcPr>
            <w:tcW w:w="851" w:type="dxa"/>
            <w:vAlign w:val="center"/>
          </w:tcPr>
          <w:p>
            <w:pPr>
              <w:widowControl/>
              <w:jc w:val="center"/>
              <w:textAlignment w:val="center"/>
              <w:rPr>
                <w:rFonts w:ascii="思源黑体 CN Bold" w:hAnsi="思源黑体 CN Bold" w:eastAsia="思源黑体 CN Bold" w:cs="思源黑体 CN Bold"/>
                <w:b/>
                <w:bCs/>
                <w:color w:val="000000"/>
                <w:szCs w:val="20"/>
              </w:rPr>
            </w:pPr>
            <w:r>
              <w:rPr>
                <w:rFonts w:hint="eastAsia" w:ascii="微软雅黑" w:hAnsi="微软雅黑" w:eastAsia="微软雅黑" w:cs="微软雅黑"/>
                <w:b/>
                <w:bCs/>
                <w:color w:val="000000"/>
                <w:kern w:val="0"/>
                <w:szCs w:val="20"/>
                <w:lang w:bidi="ar"/>
              </w:rPr>
              <w:t>红</w:t>
            </w:r>
            <w:r>
              <w:rPr>
                <w:rFonts w:hint="eastAsia" w:ascii="Yu Gothic" w:hAnsi="Yu Gothic" w:eastAsia="Yu Gothic" w:cs="Yu Gothic"/>
                <w:b/>
                <w:bCs/>
                <w:color w:val="000000"/>
                <w:kern w:val="0"/>
                <w:szCs w:val="20"/>
                <w:lang w:bidi="ar"/>
              </w:rPr>
              <w:t>牌</w:t>
            </w:r>
          </w:p>
        </w:tc>
        <w:tc>
          <w:tcPr>
            <w:tcW w:w="1134" w:type="dxa"/>
            <w:vAlign w:val="center"/>
          </w:tcPr>
          <w:p>
            <w:pPr>
              <w:widowControl/>
              <w:jc w:val="center"/>
              <w:textAlignment w:val="center"/>
              <w:rPr>
                <w:rFonts w:ascii="思源黑体 CN Bold" w:hAnsi="思源黑体 CN Bold" w:eastAsia="思源黑体 CN Bold" w:cs="思源黑体 CN Bold"/>
                <w:b/>
                <w:bCs/>
                <w:color w:val="000000"/>
                <w:szCs w:val="20"/>
              </w:rPr>
            </w:pPr>
            <w:r>
              <w:rPr>
                <w:rFonts w:hint="eastAsia" w:ascii="思源黑体 CN Bold" w:hAnsi="思源黑体 CN Bold" w:eastAsia="思源黑体 CN Bold" w:cs="思源黑体 CN Bold"/>
                <w:b/>
                <w:bCs/>
                <w:color w:val="000000"/>
                <w:kern w:val="0"/>
                <w:szCs w:val="20"/>
                <w:lang w:bidi="ar"/>
              </w:rPr>
              <w:t>禁用</w:t>
            </w:r>
          </w:p>
        </w:tc>
        <w:tc>
          <w:tcPr>
            <w:tcW w:w="709" w:type="dxa"/>
            <w:vAlign w:val="center"/>
          </w:tcPr>
          <w:p>
            <w:pPr>
              <w:widowControl/>
              <w:jc w:val="center"/>
              <w:textAlignment w:val="center"/>
              <w:rPr>
                <w:rFonts w:ascii="思源黑体 CN Bold" w:hAnsi="思源黑体 CN Bold" w:eastAsia="思源黑体 CN Bold" w:cs="思源黑体 CN Bold"/>
                <w:b/>
                <w:bCs/>
                <w:color w:val="000000"/>
                <w:szCs w:val="20"/>
              </w:rPr>
            </w:pPr>
            <w:r>
              <w:rPr>
                <w:rFonts w:hint="eastAsia" w:ascii="思源黑体 CN Bold" w:hAnsi="思源黑体 CN Bold" w:eastAsia="思源黑体 CN Bold" w:cs="思源黑体 CN Bold"/>
                <w:b/>
                <w:bCs/>
                <w:color w:val="000000"/>
                <w:kern w:val="0"/>
                <w:szCs w:val="20"/>
                <w:lang w:bidi="ar"/>
              </w:rPr>
              <w:t>取消</w:t>
            </w:r>
            <w:r>
              <w:rPr>
                <w:rFonts w:hint="eastAsia" w:ascii="微软雅黑" w:hAnsi="微软雅黑" w:eastAsia="微软雅黑" w:cs="微软雅黑"/>
                <w:b/>
                <w:bCs/>
                <w:color w:val="000000"/>
                <w:kern w:val="0"/>
                <w:szCs w:val="20"/>
                <w:lang w:bidi="ar"/>
              </w:rPr>
              <w:t>资</w:t>
            </w:r>
            <w:r>
              <w:rPr>
                <w:rFonts w:hint="eastAsia" w:ascii="Yu Gothic" w:hAnsi="Yu Gothic" w:eastAsia="Yu Gothic" w:cs="Yu Gothic"/>
                <w:b/>
                <w:bCs/>
                <w:color w:val="000000"/>
                <w:kern w:val="0"/>
                <w:szCs w:val="20"/>
                <w:lang w:bidi="ar"/>
              </w:rPr>
              <w:t>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widowControl/>
              <w:jc w:val="center"/>
              <w:textAlignment w:val="center"/>
              <w:rPr>
                <w:rFonts w:ascii="思源黑体 CN" w:hAnsi="思源黑体 CN" w:eastAsia="思源黑体 CN" w:cs="思源黑体 CN"/>
                <w:b/>
                <w:bCs/>
                <w:color w:val="000000"/>
                <w:szCs w:val="20"/>
              </w:rPr>
            </w:pPr>
            <w:r>
              <w:rPr>
                <w:rFonts w:hint="eastAsia" w:ascii="思源黑体 CN" w:hAnsi="思源黑体 CN" w:eastAsia="思源黑体 CN" w:cs="思源黑体 CN"/>
                <w:b/>
                <w:bCs/>
                <w:color w:val="000000"/>
                <w:kern w:val="0"/>
                <w:szCs w:val="20"/>
                <w:lang w:bidi="ar"/>
              </w:rPr>
              <w:t>安全规范</w:t>
            </w: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危险结构</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发现机器人的结构可能伤害到人的部位，警告后应马上整改。</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破坏场地或其他机器人</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两次违规，将被取消比赛资格。</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使用违规的材料</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场上发现选手使用违规材料将被禁用，两次违规将取消比赛资格。</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污染场地</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机器人使用胶水、胶带、润滑油不得污染场地，如有发现将被禁用，两次违规将取消比赛资格。</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机器人出界</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任何部分不得超出比赛场地边界。</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其他不安全因素</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裁判发现机器人其他不安全因素有权要求选手禁用，并进行整改，后续两次违规将取消比赛资格。</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widowControl/>
              <w:jc w:val="center"/>
              <w:textAlignment w:val="center"/>
              <w:rPr>
                <w:rFonts w:ascii="思源黑体 CN" w:hAnsi="思源黑体 CN" w:eastAsia="思源黑体 CN" w:cs="思源黑体 CN"/>
                <w:b/>
                <w:bCs/>
                <w:color w:val="000000"/>
                <w:szCs w:val="20"/>
              </w:rPr>
            </w:pPr>
            <w:r>
              <w:rPr>
                <w:rFonts w:hint="eastAsia" w:ascii="思源黑体 CN" w:hAnsi="思源黑体 CN" w:eastAsia="思源黑体 CN" w:cs="思源黑体 CN"/>
                <w:b/>
                <w:bCs/>
                <w:color w:val="000000"/>
                <w:kern w:val="0"/>
                <w:szCs w:val="20"/>
                <w:lang w:bidi="ar"/>
              </w:rPr>
              <w:t>操作规范</w:t>
            </w: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携带电子通讯设备进入场地</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二次违反可出示黄牌处罚。</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延迟结束比赛</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还要扣除相应得分。</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比赛过程中违规接触</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对比分或者比赛进行造成影响将判罚黄牌</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身体不能伸入场地影响对方得分</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二次违规将判黄牌</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自动控制阶段使用手动控制</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自动阶段手柄应放置置物框。</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机器人在场地上遗留零部件</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依照情节恶劣程度给予违例和针对二次违规给予黄牌</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将场地元素从比赛场地上移除</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以得分为目的不计入。</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违规抛射</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如造成对方场地元素的变化，需暂停还原。</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恶意破坏对方字母方块任务</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犯规方将被判红牌。</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场地元素难以从机器人移除</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反复违规影响赛程将取消其比赛资格。</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完全进入对方区域</w:t>
            </w:r>
          </w:p>
        </w:tc>
        <w:tc>
          <w:tcPr>
            <w:tcW w:w="3119" w:type="dxa"/>
            <w:vAlign w:val="center"/>
          </w:tcPr>
          <w:p>
            <w:pPr>
              <w:widowControl/>
              <w:jc w:val="left"/>
              <w:textAlignment w:val="cente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widowControl/>
              <w:jc w:val="left"/>
              <w:textAlignment w:val="center"/>
              <w:rPr>
                <w:rFonts w:ascii="思源黑体 CN" w:hAnsi="思源黑体 CN" w:eastAsia="思源黑体 CN" w:cs="思源黑体 CN"/>
                <w:color w:val="000000"/>
                <w:szCs w:val="20"/>
              </w:rPr>
            </w:pP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别住或限制对方机器人</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故意限制对方的将受到惩罚</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操控禁用机器人</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禁用后不得操控机器人，违规者首次将判罚违例，严重违规将判罚黄牌，直至取消比赛资格。</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过分行为</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过分的行为包括但不局限于：重复或公然的违规；对操控员、教练、比赛工作人员或参赛人员有不文明的行为；反复或公然做出违背安全的行为；两次违规将会被判罚取消比赛资格。</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指导教练违规</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首次给予警告，反复公然的违规，裁判可视情况做出违例判罚，情况严重的可判罚至取消比赛资格。</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场外接触交换零件</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比赛过程中严禁该行为发生。</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widowControl/>
              <w:jc w:val="center"/>
              <w:textAlignment w:val="center"/>
              <w:rPr>
                <w:rFonts w:ascii="思源黑体 CN" w:hAnsi="思源黑体 CN" w:eastAsia="思源黑体 CN" w:cs="思源黑体 CN"/>
                <w:b/>
                <w:bCs/>
                <w:color w:val="000000"/>
                <w:szCs w:val="20"/>
              </w:rPr>
            </w:pPr>
            <w:r>
              <w:rPr>
                <w:rFonts w:hint="eastAsia" w:ascii="思源黑体 CN" w:hAnsi="思源黑体 CN" w:eastAsia="思源黑体 CN" w:cs="思源黑体 CN"/>
                <w:b/>
                <w:bCs/>
                <w:color w:val="000000"/>
                <w:kern w:val="0"/>
                <w:szCs w:val="20"/>
                <w:lang w:bidi="ar"/>
              </w:rPr>
              <w:t>改装规范</w:t>
            </w: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未进入启动区强行改装</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进入启动区以机器人底部直接接触到启动线内为准。</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场地内进行改装</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选手需在场地外进行改装。</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强化改装阶段主动改变场内比赛元素</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从机器人取下的比赛元素应放置在场内，不影响其他元素的状态改变。</w:t>
            </w:r>
          </w:p>
        </w:tc>
        <w:tc>
          <w:tcPr>
            <w:tcW w:w="709"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8"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rPr>
                <w:rFonts w:ascii="思源黑体 CN" w:hAnsi="思源黑体 CN" w:eastAsia="思源黑体 CN" w:cs="思源黑体 CN"/>
                <w:color w:val="000000"/>
                <w:szCs w:val="20"/>
              </w:rPr>
            </w:pP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强化改装阶段结束前未进入场地</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不得再放入机器人。</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改装后携带比赛元素进入场地</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携带比赛元素的机器人不得进入场地。</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rPr>
                <w:rFonts w:ascii="思源黑体 CN" w:hAnsi="思源黑体 CN" w:eastAsia="思源黑体 CN" w:cs="思源黑体 CN"/>
                <w:color w:val="000000"/>
                <w:szCs w:val="20"/>
              </w:rPr>
            </w:pP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rPr>
                <w:rFonts w:ascii="思源黑体 CN" w:hAnsi="思源黑体 CN" w:eastAsia="思源黑体 CN" w:cs="思源黑体 CN"/>
                <w:color w:val="00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jc w:val="center"/>
              <w:rPr>
                <w:rFonts w:ascii="思源黑体 CN" w:hAnsi="思源黑体 CN" w:eastAsia="思源黑体 CN" w:cs="思源黑体 CN"/>
                <w:b/>
                <w:bCs/>
                <w:color w:val="000000"/>
                <w:szCs w:val="20"/>
              </w:rPr>
            </w:pPr>
          </w:p>
        </w:tc>
        <w:tc>
          <w:tcPr>
            <w:tcW w:w="1701" w:type="dxa"/>
            <w:vAlign w:val="center"/>
          </w:tcPr>
          <w:p>
            <w:pPr>
              <w:widowControl/>
              <w:jc w:val="center"/>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改装后不符合检录状态</w:t>
            </w:r>
          </w:p>
        </w:tc>
        <w:tc>
          <w:tcPr>
            <w:tcW w:w="3119" w:type="dxa"/>
            <w:vAlign w:val="center"/>
          </w:tcPr>
          <w:p>
            <w:pPr>
              <w:widowControl/>
              <w:jc w:val="left"/>
              <w:textAlignment w:val="center"/>
              <w:rPr>
                <w:rFonts w:ascii="思源黑体 CN" w:hAnsi="思源黑体 CN" w:eastAsia="思源黑体 CN" w:cs="思源黑体 CN"/>
                <w:color w:val="000000"/>
                <w:szCs w:val="20"/>
              </w:rPr>
            </w:pPr>
            <w:r>
              <w:rPr>
                <w:rFonts w:hint="eastAsia" w:ascii="思源黑体 CN" w:hAnsi="思源黑体 CN" w:eastAsia="思源黑体 CN" w:cs="思源黑体 CN"/>
                <w:color w:val="000000"/>
                <w:kern w:val="0"/>
                <w:szCs w:val="20"/>
                <w:lang w:bidi="ar"/>
              </w:rPr>
              <w:t>如有重大改动需放入场地后申报裁判进行检查。</w:t>
            </w:r>
          </w:p>
        </w:tc>
        <w:tc>
          <w:tcPr>
            <w:tcW w:w="709" w:type="dxa"/>
            <w:vAlign w:val="center"/>
          </w:tcPr>
          <w:p>
            <w:pPr>
              <w:rPr>
                <w:rFonts w:ascii="思源黑体 CN" w:hAnsi="思源黑体 CN" w:eastAsia="思源黑体 CN" w:cs="思源黑体 CN"/>
                <w:color w:val="000000"/>
                <w:szCs w:val="20"/>
              </w:rPr>
            </w:pPr>
          </w:p>
        </w:tc>
        <w:tc>
          <w:tcPr>
            <w:tcW w:w="708" w:type="dxa"/>
            <w:vAlign w:val="center"/>
          </w:tcPr>
          <w:p>
            <w:pPr>
              <w:rPr>
                <w:rFonts w:ascii="思源黑体 CN" w:hAnsi="思源黑体 CN" w:eastAsia="思源黑体 CN" w:cs="思源黑体 CN"/>
                <w:color w:val="000000"/>
                <w:szCs w:val="20"/>
              </w:rPr>
            </w:pPr>
          </w:p>
        </w:tc>
        <w:tc>
          <w:tcPr>
            <w:tcW w:w="851"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1134" w:type="dxa"/>
            <w:vAlign w:val="center"/>
          </w:tcPr>
          <w:p>
            <w:pPr>
              <w:widowControl/>
              <w:jc w:val="left"/>
              <w:textAlignment w:val="center"/>
              <w:rPr>
                <w:rFonts w:ascii="思源黑体 CN" w:hAnsi="思源黑体 CN" w:eastAsia="思源黑体 CN" w:cs="思源黑体 CN"/>
                <w:color w:val="000000"/>
                <w:szCs w:val="20"/>
              </w:rPr>
            </w:pPr>
            <w:r>
              <w:rPr>
                <w:rFonts w:ascii="Segoe UI Emoji" w:hAnsi="Segoe UI Emoji" w:eastAsia="思源黑体 CN" w:cs="Segoe UI Emoji"/>
                <w:color w:val="000000"/>
                <w:kern w:val="0"/>
                <w:szCs w:val="20"/>
                <w:lang w:bidi="ar"/>
              </w:rPr>
              <w:t>✔</w:t>
            </w:r>
          </w:p>
        </w:tc>
        <w:tc>
          <w:tcPr>
            <w:tcW w:w="709" w:type="dxa"/>
            <w:vAlign w:val="center"/>
          </w:tcPr>
          <w:p>
            <w:pPr>
              <w:rPr>
                <w:rFonts w:ascii="思源黑体 CN" w:hAnsi="思源黑体 CN" w:eastAsia="思源黑体 CN" w:cs="思源黑体 CN"/>
                <w:color w:val="000000"/>
                <w:szCs w:val="20"/>
              </w:rPr>
            </w:pPr>
          </w:p>
        </w:tc>
      </w:tr>
    </w:tbl>
    <w:p>
      <w:pPr>
        <w:adjustRightInd w:val="0"/>
        <w:snapToGrid w:val="0"/>
        <w:spacing w:line="240" w:lineRule="atLeast"/>
        <w:rPr>
          <w:lang w:eastAsia="zh-Hans"/>
        </w:rPr>
      </w:pPr>
    </w:p>
    <w:p>
      <w:pPr>
        <w:widowControl/>
        <w:spacing w:line="240" w:lineRule="auto"/>
        <w:jc w:val="left"/>
        <w:rPr>
          <w:lang w:eastAsia="zh-Hans"/>
        </w:rPr>
      </w:pPr>
      <w:r>
        <w:rPr>
          <w:lang w:eastAsia="zh-Hans"/>
        </w:rPr>
        <w:br w:type="page"/>
      </w:r>
    </w:p>
    <w:p>
      <w:pPr>
        <w:pStyle w:val="33"/>
        <w:adjustRightInd w:val="0"/>
        <w:snapToGrid w:val="0"/>
        <w:spacing w:before="0" w:after="0" w:line="240" w:lineRule="atLeast"/>
        <w:ind w:left="420" w:hanging="420"/>
        <w:rPr>
          <w:rFonts w:ascii="宋体" w:hAnsi="宋体" w:eastAsia="宋体"/>
          <w:color w:val="auto"/>
          <w:sz w:val="28"/>
        </w:rPr>
      </w:pPr>
      <w:r>
        <w:rPr>
          <w:rFonts w:hint="eastAsia" w:ascii="宋体" w:hAnsi="宋体" w:eastAsia="宋体"/>
          <w:color w:val="auto"/>
          <w:sz w:val="28"/>
        </w:rPr>
        <w:t>附录</w:t>
      </w:r>
      <w:r>
        <w:rPr>
          <w:rFonts w:ascii="宋体" w:hAnsi="宋体" w:eastAsia="宋体"/>
          <w:color w:val="auto"/>
          <w:sz w:val="28"/>
        </w:rPr>
        <w:t>3：MakeX Challenge 能源革新计分表</w:t>
      </w:r>
      <w:bookmarkEnd w:id="66"/>
      <w:bookmarkEnd w:id="67"/>
      <w:bookmarkEnd w:id="68"/>
    </w:p>
    <w:p>
      <w:pPr>
        <w:adjustRightInd w:val="0"/>
        <w:snapToGrid w:val="0"/>
        <w:spacing w:line="240" w:lineRule="atLeast"/>
        <w:rPr>
          <w:lang w:eastAsia="zh-Hans"/>
        </w:rPr>
      </w:pPr>
      <w:bookmarkStart w:id="69" w:name="_Toc24446"/>
      <w:bookmarkStart w:id="70" w:name="_Toc4022"/>
      <w:bookmarkStart w:id="71" w:name="_Toc738735555"/>
      <w:bookmarkStart w:id="72" w:name="_Toc1325509578"/>
      <w:bookmarkStart w:id="73" w:name="_Toc20637"/>
      <w:r>
        <w:rPr>
          <w:rFonts w:hint="eastAsia"/>
        </w:rPr>
        <w:drawing>
          <wp:inline distT="0" distB="0" distL="114300" distR="114300">
            <wp:extent cx="6014085" cy="4452620"/>
            <wp:effectExtent l="0" t="0" r="5715" b="5080"/>
            <wp:docPr id="52" name="图片 52" descr="2022 Challenge 能源革新-计分表V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2 Challenge 能源革新-计分表V1.0_01"/>
                    <pic:cNvPicPr>
                      <a:picLocks noChangeAspect="1"/>
                    </pic:cNvPicPr>
                  </pic:nvPicPr>
                  <pic:blipFill>
                    <a:blip r:embed="rId37"/>
                    <a:srcRect l="6481"/>
                    <a:stretch>
                      <a:fillRect/>
                    </a:stretch>
                  </pic:blipFill>
                  <pic:spPr>
                    <a:xfrm>
                      <a:off x="0" y="0"/>
                      <a:ext cx="6039048" cy="4471031"/>
                    </a:xfrm>
                    <a:prstGeom prst="rect">
                      <a:avLst/>
                    </a:prstGeom>
                    <a:ln>
                      <a:noFill/>
                    </a:ln>
                  </pic:spPr>
                </pic:pic>
              </a:graphicData>
            </a:graphic>
          </wp:inline>
        </w:drawing>
      </w:r>
      <w:bookmarkEnd w:id="69"/>
      <w:bookmarkEnd w:id="70"/>
      <w:bookmarkEnd w:id="71"/>
      <w:r>
        <w:rPr>
          <w:rFonts w:hint="eastAsia"/>
          <w:lang w:eastAsia="zh-Hans"/>
        </w:rPr>
        <w:br w:type="page"/>
      </w:r>
    </w:p>
    <w:p>
      <w:pPr>
        <w:pStyle w:val="33"/>
        <w:adjustRightInd w:val="0"/>
        <w:snapToGrid w:val="0"/>
        <w:spacing w:before="0" w:after="0" w:line="240" w:lineRule="atLeast"/>
        <w:ind w:left="420" w:hanging="420"/>
        <w:rPr>
          <w:rFonts w:ascii="宋体" w:hAnsi="宋体" w:eastAsia="宋体"/>
          <w:color w:val="auto"/>
          <w:sz w:val="28"/>
        </w:rPr>
      </w:pPr>
      <w:bookmarkStart w:id="74" w:name="_Toc378040279_WPSOffice_Level1"/>
      <w:r>
        <w:rPr>
          <w:rFonts w:hint="eastAsia" w:ascii="宋体" w:hAnsi="宋体" w:eastAsia="宋体"/>
          <w:color w:val="auto"/>
          <w:sz w:val="28"/>
        </w:rPr>
        <w:t>附录</w:t>
      </w:r>
      <w:r>
        <w:rPr>
          <w:rFonts w:ascii="宋体" w:hAnsi="宋体" w:eastAsia="宋体"/>
          <w:color w:val="auto"/>
          <w:sz w:val="28"/>
        </w:rPr>
        <w:t>4：</w:t>
      </w:r>
      <w:r>
        <w:rPr>
          <w:rFonts w:hint="eastAsia" w:ascii="宋体" w:hAnsi="宋体" w:eastAsia="宋体"/>
          <w:color w:val="auto"/>
          <w:sz w:val="28"/>
        </w:rPr>
        <w:t>航模电池使用说明</w:t>
      </w:r>
      <w:bookmarkEnd w:id="72"/>
      <w:bookmarkEnd w:id="73"/>
      <w:bookmarkEnd w:id="74"/>
    </w:p>
    <w:p>
      <w:pPr>
        <w:pStyle w:val="28"/>
        <w:adjustRightInd w:val="0"/>
        <w:snapToGrid w:val="0"/>
        <w:spacing w:line="360" w:lineRule="auto"/>
        <w:ind w:firstLine="420"/>
        <w:rPr>
          <w:rFonts w:ascii="宋体" w:hAnsi="宋体" w:eastAsia="宋体"/>
          <w:sz w:val="21"/>
          <w:szCs w:val="18"/>
        </w:rPr>
      </w:pPr>
      <w:r>
        <w:rPr>
          <w:rFonts w:hint="eastAsia" w:ascii="宋体" w:hAnsi="宋体" w:eastAsia="宋体"/>
          <w:sz w:val="21"/>
          <w:szCs w:val="18"/>
        </w:rPr>
        <w:t>为了保证航模电池的使用安全，每个队伍应指定一个人专门负责监督航模锂电池的安全使用并向队友普及航模锂电池的安全使用知识。在使用过程中，应该注意以下事项：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请在确保认真阅读并理解本航模锂电池安全使用指南的情况下使用航模锂电池。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安全充电和放电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只使用厂家配套的锂电池专用充电器并仔细阅读充电器使用指南，充电时确保有人在旁边，充电时万一发生意外可以及时处理，请勿过充和过放，单个电芯超过4.2V为过充，单个电芯为低于3.0V为过放。过充可能会引起航模锂电池爆炸，过放容易损伤电池，缩短电池使用寿命。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请在充电或者使用前仔细检查电池电压、电量情况。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请在0-45℃温度内充电。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安全存储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在任何时候，都不能让电池电芯过热，电芯在温度高达60℃后，会存在安全隐患，甚至是燃烧。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在充电时，电池不可接近或者直接放置在易燃物（纸张、塑料等）品上。如果有条件的话，最好在防火的保险箱里进行充电。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请勿将电池接近液体、明火或加热器，将电池放置在孩童够不着的地方。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请勿任意拆开电池重组或者改变接线，请勿私自组装电池，将旧电池电芯拆开后重组、或者将拆开后的某一片电芯与另外一组电池重组的电芯重组的行为都是危险的（无专用的组装仪器易引起短路燃烧）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如在使用过程中发生碰撞，请将电池取出。请仔细检测电池以及连接器是否正常，以防万一。（注意：电池有可能高温烫手）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请勿将电解液溅到眼睛或皮肤，如不慎溅到，请立即用清水清洗，严重者请立即就医。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请勿短路（正负极相接）。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请勿直接接触有漏液现象的电池。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长期不使用的电池，请保证3个月内进行一次充放电激活，以维持电池的稳定性 </w:t>
      </w:r>
    </w:p>
    <w:p>
      <w:pPr>
        <w:pStyle w:val="28"/>
        <w:numPr>
          <w:ilvl w:val="0"/>
          <w:numId w:val="21"/>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在保存和运输航模锂电池的过程中，请放置在专用的防火安全袋或安全箱内。 </w:t>
      </w:r>
    </w:p>
    <w:p>
      <w:pPr>
        <w:widowControl/>
        <w:spacing w:line="360" w:lineRule="auto"/>
        <w:jc w:val="left"/>
        <w:rPr>
          <w:rFonts w:ascii="宋体" w:hAnsi="宋体" w:eastAsia="宋体" w:cs="微软雅黑"/>
          <w:color w:val="000000" w:themeColor="text1"/>
          <w:sz w:val="21"/>
          <w:szCs w:val="18"/>
          <w14:textFill>
            <w14:solidFill>
              <w14:schemeClr w14:val="tx1"/>
            </w14:solidFill>
          </w14:textFill>
        </w:rPr>
      </w:pPr>
      <w:r>
        <w:rPr>
          <w:rFonts w:ascii="宋体" w:hAnsi="宋体" w:eastAsia="宋体"/>
          <w:sz w:val="16"/>
          <w:szCs w:val="20"/>
        </w:rPr>
        <w:br w:type="page"/>
      </w:r>
    </w:p>
    <w:p>
      <w:pPr>
        <w:pStyle w:val="33"/>
        <w:adjustRightInd w:val="0"/>
        <w:snapToGrid w:val="0"/>
        <w:spacing w:before="0" w:after="0" w:line="240" w:lineRule="atLeast"/>
        <w:ind w:left="420" w:hanging="420"/>
        <w:rPr>
          <w:rFonts w:ascii="宋体" w:hAnsi="宋体" w:eastAsia="宋体"/>
          <w:color w:val="auto"/>
          <w:sz w:val="28"/>
        </w:rPr>
      </w:pPr>
      <w:bookmarkStart w:id="75" w:name="_Toc1991607115"/>
      <w:bookmarkStart w:id="76" w:name="_Toc10306"/>
      <w:bookmarkStart w:id="77" w:name="_Toc1466341327_WPSOffice_Level1"/>
      <w:r>
        <w:rPr>
          <w:rFonts w:hint="eastAsia" w:ascii="宋体" w:hAnsi="宋体" w:eastAsia="宋体"/>
          <w:color w:val="auto"/>
          <w:sz w:val="28"/>
        </w:rPr>
        <w:t>附录</w:t>
      </w:r>
      <w:r>
        <w:rPr>
          <w:rFonts w:ascii="宋体" w:hAnsi="宋体" w:eastAsia="宋体"/>
          <w:color w:val="auto"/>
          <w:sz w:val="28"/>
        </w:rPr>
        <w:t>5：电源管理模块</w:t>
      </w:r>
      <w:bookmarkEnd w:id="75"/>
      <w:bookmarkEnd w:id="76"/>
      <w:bookmarkEnd w:id="77"/>
    </w:p>
    <w:p>
      <w:pPr>
        <w:pStyle w:val="28"/>
        <w:adjustRightInd w:val="0"/>
        <w:snapToGrid w:val="0"/>
        <w:spacing w:line="360" w:lineRule="auto"/>
        <w:ind w:firstLine="422"/>
        <w:rPr>
          <w:rFonts w:ascii="宋体" w:hAnsi="宋体" w:eastAsia="宋体"/>
          <w:b/>
          <w:bCs/>
          <w:sz w:val="21"/>
          <w:szCs w:val="18"/>
        </w:rPr>
      </w:pPr>
      <w:r>
        <w:rPr>
          <w:rFonts w:ascii="宋体" w:hAnsi="宋体" w:eastAsia="宋体"/>
          <w:b/>
          <w:bCs/>
          <w:sz w:val="21"/>
          <w:szCs w:val="18"/>
        </w:rPr>
        <w:t xml:space="preserve">电源管理模块介绍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电源管理模块会与主板（NovaPi）搭配使用，为参加 MakeX 2022赛季能源革新和雷霆营救比赛的必备电子器件。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在比赛过程中，电源管理模块会与MakeX比赛系统进行无线连接，从而使MakeX比赛系统可以控制参赛队伍机器人的电源，以及切换自动和手动程序。 </w:t>
      </w:r>
    </w:p>
    <w:p>
      <w:pPr>
        <w:pStyle w:val="28"/>
        <w:adjustRightInd w:val="0"/>
        <w:snapToGrid w:val="0"/>
        <w:spacing w:line="360" w:lineRule="auto"/>
        <w:ind w:firstLine="422"/>
        <w:rPr>
          <w:rFonts w:ascii="宋体" w:hAnsi="宋体" w:eastAsia="宋体"/>
          <w:sz w:val="21"/>
          <w:szCs w:val="18"/>
        </w:rPr>
      </w:pPr>
      <w:r>
        <w:rPr>
          <w:rFonts w:ascii="宋体" w:hAnsi="宋体" w:eastAsia="宋体"/>
          <w:b/>
          <w:bCs/>
          <w:sz w:val="21"/>
          <w:szCs w:val="18"/>
        </w:rPr>
        <w:t>模块尺寸：</w:t>
      </w:r>
      <w:r>
        <w:rPr>
          <w:rFonts w:ascii="宋体" w:hAnsi="宋体" w:eastAsia="宋体"/>
          <w:sz w:val="21"/>
          <w:szCs w:val="18"/>
        </w:rPr>
        <w:t>85mm × 56mm × 11.5mm；</w:t>
      </w:r>
    </w:p>
    <w:p>
      <w:pPr>
        <w:pStyle w:val="28"/>
        <w:tabs>
          <w:tab w:val="left" w:pos="7634"/>
        </w:tabs>
        <w:adjustRightInd w:val="0"/>
        <w:snapToGrid w:val="0"/>
        <w:spacing w:line="240" w:lineRule="atLeast"/>
        <w:ind w:firstLine="0" w:firstLineChars="0"/>
        <w:jc w:val="center"/>
      </w:pPr>
      <w:r>
        <w:drawing>
          <wp:inline distT="0" distB="0" distL="114300" distR="114300">
            <wp:extent cx="4284980" cy="3544570"/>
            <wp:effectExtent l="0" t="0" r="1270" b="0"/>
            <wp:docPr id="53" name="图片 53" descr="1ad0483a-f7d4-490a-ad68-3a60aeee3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ad0483a-f7d4-490a-ad68-3a60aeee3b81"/>
                    <pic:cNvPicPr>
                      <a:picLocks noChangeAspect="1"/>
                    </pic:cNvPicPr>
                  </pic:nvPicPr>
                  <pic:blipFill>
                    <a:blip r:embed="rId38"/>
                    <a:stretch>
                      <a:fillRect/>
                    </a:stretch>
                  </pic:blipFill>
                  <pic:spPr>
                    <a:xfrm>
                      <a:off x="0" y="0"/>
                      <a:ext cx="4291750" cy="3550137"/>
                    </a:xfrm>
                    <a:prstGeom prst="rect">
                      <a:avLst/>
                    </a:prstGeom>
                  </pic:spPr>
                </pic:pic>
              </a:graphicData>
            </a:graphic>
          </wp:inline>
        </w:drawing>
      </w:r>
    </w:p>
    <w:p>
      <w:pPr>
        <w:pStyle w:val="28"/>
        <w:tabs>
          <w:tab w:val="left" w:pos="7634"/>
        </w:tabs>
        <w:adjustRightInd w:val="0"/>
        <w:snapToGrid w:val="0"/>
        <w:spacing w:line="240" w:lineRule="atLeast"/>
        <w:ind w:firstLine="0" w:firstLineChars="0"/>
      </w:pPr>
      <w:r>
        <w:drawing>
          <wp:inline distT="0" distB="0" distL="114300" distR="114300">
            <wp:extent cx="5271135" cy="3430270"/>
            <wp:effectExtent l="0" t="0" r="12065" b="24130"/>
            <wp:docPr id="54" name="图片 54" descr="b81070f1-87ba-47f9-82fc-4da7d1ac9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81070f1-87ba-47f9-82fc-4da7d1ac970c"/>
                    <pic:cNvPicPr>
                      <a:picLocks noChangeAspect="1"/>
                    </pic:cNvPicPr>
                  </pic:nvPicPr>
                  <pic:blipFill>
                    <a:blip r:embed="rId39"/>
                    <a:stretch>
                      <a:fillRect/>
                    </a:stretch>
                  </pic:blipFill>
                  <pic:spPr>
                    <a:xfrm>
                      <a:off x="0" y="0"/>
                      <a:ext cx="5271135" cy="3430270"/>
                    </a:xfrm>
                    <a:prstGeom prst="rect">
                      <a:avLst/>
                    </a:prstGeom>
                  </pic:spPr>
                </pic:pic>
              </a:graphicData>
            </a:graphic>
          </wp:inline>
        </w:drawing>
      </w:r>
    </w:p>
    <w:p>
      <w:pPr>
        <w:pStyle w:val="28"/>
        <w:adjustRightInd w:val="0"/>
        <w:snapToGrid w:val="0"/>
        <w:spacing w:line="360" w:lineRule="auto"/>
        <w:ind w:firstLine="422"/>
        <w:rPr>
          <w:rFonts w:ascii="宋体" w:hAnsi="宋体" w:eastAsia="宋体"/>
          <w:sz w:val="21"/>
          <w:szCs w:val="18"/>
        </w:rPr>
      </w:pPr>
      <w:r>
        <w:rPr>
          <w:rFonts w:ascii="宋体" w:hAnsi="宋体" w:eastAsia="宋体"/>
          <w:b/>
          <w:bCs/>
          <w:sz w:val="21"/>
          <w:szCs w:val="18"/>
        </w:rPr>
        <w:t>工作电压：</w:t>
      </w:r>
      <w:r>
        <w:rPr>
          <w:rFonts w:ascii="宋体" w:hAnsi="宋体" w:eastAsia="宋体"/>
          <w:sz w:val="21"/>
          <w:szCs w:val="18"/>
        </w:rPr>
        <w:t xml:space="preserve"> 6V—12V； </w:t>
      </w:r>
    </w:p>
    <w:p>
      <w:pPr>
        <w:pStyle w:val="28"/>
        <w:adjustRightInd w:val="0"/>
        <w:snapToGrid w:val="0"/>
        <w:spacing w:line="360" w:lineRule="auto"/>
        <w:ind w:firstLine="422"/>
        <w:rPr>
          <w:rFonts w:ascii="宋体" w:hAnsi="宋体" w:eastAsia="宋体"/>
          <w:sz w:val="21"/>
          <w:szCs w:val="18"/>
        </w:rPr>
      </w:pPr>
      <w:r>
        <w:rPr>
          <w:rFonts w:ascii="宋体" w:hAnsi="宋体" w:eastAsia="宋体"/>
          <w:b/>
          <w:bCs/>
          <w:sz w:val="21"/>
          <w:szCs w:val="18"/>
        </w:rPr>
        <w:t>板载LED灯</w:t>
      </w:r>
      <w:r>
        <w:rPr>
          <w:rFonts w:ascii="宋体" w:hAnsi="宋体" w:eastAsia="宋体"/>
          <w:sz w:val="21"/>
          <w:szCs w:val="18"/>
        </w:rPr>
        <w:t xml:space="preserve">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LED灯包括动力电源输出指示灯，及系统电源指示灯和通信指示灯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动力电源输出指示灯：当动力电源有输出时红色指示灯常亮、动力电源断开时红色指示灯熄灭；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系统电源指示灯：模块工作时红色系统电源指示灯常亮；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通信指示灯：模块更新固件时，蓝色通信指示灯会闪烁； </w:t>
      </w:r>
    </w:p>
    <w:p>
      <w:pPr>
        <w:pStyle w:val="28"/>
        <w:adjustRightInd w:val="0"/>
        <w:snapToGrid w:val="0"/>
        <w:spacing w:line="360" w:lineRule="auto"/>
        <w:ind w:firstLine="422"/>
        <w:rPr>
          <w:rFonts w:ascii="宋体" w:hAnsi="宋体" w:eastAsia="宋体"/>
          <w:b/>
          <w:bCs/>
          <w:sz w:val="21"/>
          <w:szCs w:val="18"/>
        </w:rPr>
      </w:pPr>
      <w:r>
        <w:rPr>
          <w:rFonts w:ascii="宋体" w:hAnsi="宋体" w:eastAsia="宋体"/>
          <w:b/>
          <w:bCs/>
          <w:sz w:val="21"/>
          <w:szCs w:val="18"/>
        </w:rPr>
        <w:t xml:space="preserve">状态指示灯（RGB灯）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状态指灯主要分为熄灭、红色、绿色和蓝色四种状态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b/>
          <w:bCs/>
          <w:sz w:val="21"/>
          <w:szCs w:val="18"/>
        </w:rPr>
        <w:t>熄灭：</w:t>
      </w:r>
      <w:r>
        <w:rPr>
          <w:rFonts w:ascii="宋体" w:hAnsi="宋体" w:eastAsia="宋体"/>
          <w:sz w:val="21"/>
          <w:szCs w:val="18"/>
        </w:rPr>
        <w:t xml:space="preserve">电源管理模块上电后会对蓝牙模块进行检测，当检测不到蓝牙模块时 RGB 灯为熄灭状态；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b/>
          <w:bCs/>
          <w:sz w:val="21"/>
          <w:szCs w:val="18"/>
        </w:rPr>
        <w:t>红色：</w:t>
      </w:r>
      <w:r>
        <w:rPr>
          <w:rFonts w:ascii="宋体" w:hAnsi="宋体" w:eastAsia="宋体"/>
          <w:sz w:val="21"/>
          <w:szCs w:val="18"/>
        </w:rPr>
        <w:t xml:space="preserve">正常上电后单击按键，RGB灯红色闪亮一次；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b/>
          <w:bCs/>
          <w:sz w:val="21"/>
          <w:szCs w:val="18"/>
        </w:rPr>
        <w:t>绿色：</w:t>
      </w:r>
      <w:r>
        <w:rPr>
          <w:rFonts w:ascii="宋体" w:hAnsi="宋体" w:eastAsia="宋体"/>
          <w:sz w:val="21"/>
          <w:szCs w:val="18"/>
        </w:rPr>
        <w:t xml:space="preserve">处于手动赛阶段；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b/>
          <w:bCs/>
          <w:sz w:val="21"/>
          <w:szCs w:val="18"/>
        </w:rPr>
        <w:t>蓝色：</w:t>
      </w:r>
      <w:r>
        <w:rPr>
          <w:rFonts w:ascii="宋体" w:hAnsi="宋体" w:eastAsia="宋体"/>
          <w:sz w:val="21"/>
          <w:szCs w:val="18"/>
        </w:rPr>
        <w:t xml:space="preserve">处于自动赛阶段。 </w:t>
      </w:r>
    </w:p>
    <w:p>
      <w:pPr>
        <w:pStyle w:val="28"/>
        <w:adjustRightInd w:val="0"/>
        <w:snapToGrid w:val="0"/>
        <w:spacing w:line="360" w:lineRule="auto"/>
        <w:ind w:firstLine="422"/>
        <w:rPr>
          <w:rFonts w:ascii="宋体" w:hAnsi="宋体" w:eastAsia="宋体"/>
          <w:b/>
          <w:bCs/>
          <w:sz w:val="21"/>
          <w:szCs w:val="18"/>
        </w:rPr>
      </w:pPr>
      <w:r>
        <w:rPr>
          <w:rFonts w:ascii="宋体" w:hAnsi="宋体" w:eastAsia="宋体"/>
          <w:b/>
          <w:bCs/>
          <w:sz w:val="21"/>
          <w:szCs w:val="18"/>
        </w:rPr>
        <w:t xml:space="preserve">数码管 </w:t>
      </w:r>
    </w:p>
    <w:p>
      <w:pPr>
        <w:pStyle w:val="28"/>
        <w:adjustRightInd w:val="0"/>
        <w:snapToGrid w:val="0"/>
        <w:spacing w:line="360" w:lineRule="auto"/>
        <w:ind w:firstLine="420"/>
        <w:rPr>
          <w:rFonts w:ascii="宋体" w:hAnsi="宋体" w:eastAsia="宋体"/>
          <w:sz w:val="21"/>
          <w:szCs w:val="18"/>
        </w:rPr>
      </w:pPr>
      <w:bookmarkStart w:id="78" w:name="_Toc597421526_WPSOffice_Level2"/>
      <w:bookmarkStart w:id="79" w:name="_Toc2110628205_WPSOffice_Level2"/>
      <w:bookmarkStart w:id="80" w:name="_Toc661447737_WPSOffice_Level2"/>
      <w:bookmarkStart w:id="81" w:name="_Toc1319665273_WPSOffice_Level2"/>
      <w:bookmarkStart w:id="82" w:name="_Toc1909293911_WPSOffice_Level2"/>
      <w:r>
        <w:rPr>
          <w:rFonts w:ascii="宋体" w:hAnsi="宋体" w:eastAsia="宋体"/>
          <w:sz w:val="21"/>
          <w:szCs w:val="18"/>
        </w:rPr>
        <w:t>2 位数码管主要用于显示无线通讯模块当前信道号及系统异常状态</w:t>
      </w:r>
      <w:bookmarkEnd w:id="78"/>
      <w:bookmarkEnd w:id="79"/>
      <w:bookmarkEnd w:id="80"/>
      <w:bookmarkEnd w:id="81"/>
      <w:bookmarkEnd w:id="82"/>
      <w:r>
        <w:rPr>
          <w:rFonts w:ascii="宋体" w:hAnsi="宋体" w:eastAsia="宋体"/>
          <w:sz w:val="21"/>
          <w:szCs w:val="18"/>
        </w:rPr>
        <w:t xml:space="preserve">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正常状态下2位数码管显示的是当前无线通讯模块的信道号，无线通讯模块的信道号为1~40，数码管显示的数字即为1~40，如当前信道为16信道，2位数码管显示数字“16”；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电源管理模块上电后会对无线通讯模块进行检测，当检测不到无线通讯模块时2位数码管显示字母“Er”；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 当电池低电量时，2位数码管会交替显示符号“–”和当前信道号。 </w:t>
      </w:r>
    </w:p>
    <w:p>
      <w:pPr>
        <w:pStyle w:val="28"/>
        <w:adjustRightInd w:val="0"/>
        <w:snapToGrid w:val="0"/>
        <w:spacing w:line="360" w:lineRule="auto"/>
        <w:ind w:firstLine="422"/>
        <w:rPr>
          <w:rFonts w:ascii="宋体" w:hAnsi="宋体" w:eastAsia="宋体"/>
          <w:b/>
          <w:bCs/>
          <w:sz w:val="21"/>
          <w:szCs w:val="18"/>
        </w:rPr>
      </w:pPr>
      <w:r>
        <w:rPr>
          <w:rFonts w:ascii="宋体" w:hAnsi="宋体" w:eastAsia="宋体"/>
          <w:b/>
          <w:bCs/>
          <w:sz w:val="21"/>
          <w:szCs w:val="18"/>
        </w:rPr>
        <w:t xml:space="preserve">蜂鸣器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蜂鸣器会输出提示及警告音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当模块正常上电并检测到，无线通讯模块在线时短鸣一声；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当给电源管理模块复位时，蜂鸣器长鸣 2s；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当上电后检测不到无线通讯模块时，蜂鸣器会连续鸣响3声。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电源管理模块使用 </w:t>
      </w:r>
    </w:p>
    <w:p>
      <w:pPr>
        <w:pStyle w:val="28"/>
        <w:adjustRightInd w:val="0"/>
        <w:snapToGrid w:val="0"/>
        <w:spacing w:line="360" w:lineRule="auto"/>
        <w:ind w:firstLine="422"/>
        <w:rPr>
          <w:rFonts w:ascii="宋体" w:hAnsi="宋体" w:eastAsia="宋体"/>
          <w:b/>
          <w:bCs/>
          <w:sz w:val="21"/>
          <w:szCs w:val="18"/>
        </w:rPr>
      </w:pPr>
      <w:r>
        <w:rPr>
          <w:rFonts w:ascii="宋体" w:hAnsi="宋体" w:eastAsia="宋体"/>
          <w:b/>
          <w:bCs/>
          <w:sz w:val="21"/>
          <w:szCs w:val="18"/>
        </w:rPr>
        <w:t xml:space="preserve">多功能按键使用说明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     多功能按键有复位、单击、双击和长按4种模式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b/>
          <w:bCs/>
          <w:sz w:val="21"/>
          <w:szCs w:val="18"/>
        </w:rPr>
        <w:t>复位：</w:t>
      </w:r>
      <w:r>
        <w:rPr>
          <w:rFonts w:ascii="宋体" w:hAnsi="宋体" w:eastAsia="宋体"/>
          <w:sz w:val="21"/>
          <w:szCs w:val="18"/>
        </w:rPr>
        <w:t xml:space="preserve">先按下多功能按键同时给电源管理模块插入航模电池，电源管理模块会恢复默认的配置参数，蜂鸣器长响一声（2S）、数码管显示数字“20”；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b/>
          <w:bCs/>
          <w:sz w:val="21"/>
          <w:szCs w:val="18"/>
        </w:rPr>
        <w:t>单击：</w:t>
      </w:r>
      <w:r>
        <w:rPr>
          <w:rFonts w:ascii="宋体" w:hAnsi="宋体" w:eastAsia="宋体"/>
          <w:sz w:val="21"/>
          <w:szCs w:val="18"/>
        </w:rPr>
        <w:t xml:space="preserve">单击一次多功能按键，电源管理模块会上报一次蓝牙模块UID， RGB灯红色闪亮一次；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b/>
          <w:bCs/>
          <w:sz w:val="21"/>
          <w:szCs w:val="18"/>
        </w:rPr>
        <w:t>双击：</w:t>
      </w:r>
      <w:r>
        <w:rPr>
          <w:rFonts w:ascii="宋体" w:hAnsi="宋体" w:eastAsia="宋体"/>
          <w:sz w:val="21"/>
          <w:szCs w:val="18"/>
        </w:rPr>
        <w:t xml:space="preserve">双击一次多功能按键，电源管理模块将会延时3S并切换自动程序和手动赛程序（可通过RGB指示灯观察状态切换是否成功，自动赛时RGB蓝灯常亮、手动赛阶段RGB绿灯长亮，延时切换过程中RGB灯闪烁）。双击功能仅在蓝牙模块为默认“20”信道时才有效（即仅当数码 管显示数字“20”才效）；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b/>
          <w:bCs/>
          <w:sz w:val="21"/>
          <w:szCs w:val="18"/>
        </w:rPr>
        <w:t>长按：</w:t>
      </w:r>
      <w:r>
        <w:rPr>
          <w:rFonts w:ascii="宋体" w:hAnsi="宋体" w:eastAsia="宋体"/>
          <w:sz w:val="21"/>
          <w:szCs w:val="18"/>
        </w:rPr>
        <w:t xml:space="preserve">长按一次多功能按键（2~3s），切换动力电源输出状态。即如果当前动力电源为断开状态，长按后动力电源接通，动力电源输出指示灯显示红色 ；当动力电源为接通状态，长按后动力电源断开，动力电源输出指示灯熄灭。 </w:t>
      </w:r>
    </w:p>
    <w:p>
      <w:pPr>
        <w:pStyle w:val="28"/>
        <w:adjustRightInd w:val="0"/>
        <w:snapToGrid w:val="0"/>
        <w:spacing w:line="360" w:lineRule="auto"/>
        <w:ind w:firstLine="422"/>
        <w:rPr>
          <w:rFonts w:ascii="宋体" w:hAnsi="宋体" w:eastAsia="宋体"/>
          <w:b/>
          <w:bCs/>
          <w:sz w:val="21"/>
          <w:szCs w:val="18"/>
        </w:rPr>
      </w:pPr>
      <w:r>
        <w:rPr>
          <w:rFonts w:ascii="宋体" w:hAnsi="宋体" w:eastAsia="宋体"/>
          <w:b/>
          <w:bCs/>
          <w:sz w:val="21"/>
          <w:szCs w:val="18"/>
        </w:rPr>
        <w:t xml:space="preserve">自动程序启动信号识别代码 </w:t>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在自动控制阶段，比赛系统会给机器人上的电源管理模块发送相关指令来屏蔽手柄信号并且启动机器人的自动程序，为了能够正常启动主控板上的自动程序，编程时需要在程序里面插入固定代码来识别比赛系统发送的启动自动程序指令 </w:t>
      </w:r>
    </w:p>
    <w:p>
      <w:pPr>
        <w:pStyle w:val="28"/>
        <w:adjustRightInd w:val="0"/>
        <w:snapToGrid w:val="0"/>
        <w:spacing w:line="360" w:lineRule="auto"/>
        <w:ind w:firstLine="0" w:firstLineChars="0"/>
        <w:jc w:val="center"/>
        <w:rPr>
          <w:rFonts w:ascii="宋体" w:hAnsi="宋体" w:eastAsia="宋体"/>
          <w:sz w:val="21"/>
          <w:szCs w:val="18"/>
        </w:rPr>
      </w:pPr>
      <w:r>
        <w:rPr>
          <w:rFonts w:ascii="宋体" w:hAnsi="宋体" w:eastAsia="宋体"/>
          <w:sz w:val="21"/>
          <w:szCs w:val="18"/>
        </w:rPr>
        <w:drawing>
          <wp:inline distT="0" distB="0" distL="114300" distR="114300">
            <wp:extent cx="4452620" cy="1993265"/>
            <wp:effectExtent l="0" t="0" r="17780" b="13335"/>
            <wp:docPr id="5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IMG_256"/>
                    <pic:cNvPicPr>
                      <a:picLocks noChangeAspect="1"/>
                    </pic:cNvPicPr>
                  </pic:nvPicPr>
                  <pic:blipFill>
                    <a:blip r:embed="rId40"/>
                    <a:stretch>
                      <a:fillRect/>
                    </a:stretch>
                  </pic:blipFill>
                  <pic:spPr>
                    <a:xfrm>
                      <a:off x="0" y="0"/>
                      <a:ext cx="4452620" cy="1993265"/>
                    </a:xfrm>
                    <a:prstGeom prst="rect">
                      <a:avLst/>
                    </a:prstGeom>
                    <a:noFill/>
                    <a:ln w="9525">
                      <a:noFill/>
                    </a:ln>
                  </pic:spPr>
                </pic:pic>
              </a:graphicData>
            </a:graphic>
          </wp:inline>
        </w:drawing>
      </w:r>
    </w:p>
    <w:p>
      <w:pPr>
        <w:pStyle w:val="28"/>
        <w:adjustRightInd w:val="0"/>
        <w:snapToGrid w:val="0"/>
        <w:spacing w:line="360" w:lineRule="auto"/>
        <w:ind w:firstLine="420"/>
        <w:rPr>
          <w:rFonts w:ascii="宋体" w:hAnsi="宋体" w:eastAsia="宋体"/>
          <w:sz w:val="21"/>
          <w:szCs w:val="18"/>
        </w:rPr>
      </w:pPr>
      <w:r>
        <w:rPr>
          <w:rFonts w:ascii="宋体" w:hAnsi="宋体" w:eastAsia="宋体"/>
          <w:sz w:val="21"/>
          <w:szCs w:val="18"/>
        </w:rPr>
        <w:t xml:space="preserve">（请把自动阶段的程序和手动控制的程序放入相应的位置）。 </w:t>
      </w:r>
    </w:p>
    <w:p>
      <w:pPr>
        <w:pStyle w:val="28"/>
        <w:adjustRightInd w:val="0"/>
        <w:snapToGrid w:val="0"/>
        <w:spacing w:line="360" w:lineRule="auto"/>
        <w:ind w:firstLine="422"/>
        <w:rPr>
          <w:rFonts w:ascii="宋体" w:hAnsi="宋体" w:eastAsia="宋体"/>
          <w:sz w:val="21"/>
          <w:szCs w:val="18"/>
        </w:rPr>
      </w:pPr>
      <w:r>
        <w:rPr>
          <w:rFonts w:ascii="宋体" w:hAnsi="宋体" w:eastAsia="宋体"/>
          <w:b/>
          <w:bCs/>
          <w:sz w:val="21"/>
          <w:szCs w:val="18"/>
        </w:rPr>
        <w:t>安装使用建议</w:t>
      </w:r>
      <w:r>
        <w:rPr>
          <w:rFonts w:ascii="宋体" w:hAnsi="宋体" w:eastAsia="宋体"/>
          <w:sz w:val="21"/>
          <w:szCs w:val="18"/>
        </w:rPr>
        <w:t xml:space="preserve">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电源管理模块为比赛的必备电子件，请务必保证其安装牢固，各线缆连接稳固。建议使用电源管理模块的亚克力盒保护；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各条连线须保证连接稳固，接线示意图如下： </w:t>
      </w:r>
    </w:p>
    <w:p>
      <w:pPr>
        <w:pStyle w:val="28"/>
        <w:adjustRightInd w:val="0"/>
        <w:snapToGrid w:val="0"/>
        <w:spacing w:line="360" w:lineRule="auto"/>
        <w:ind w:firstLine="0" w:firstLineChars="0"/>
        <w:jc w:val="center"/>
        <w:rPr>
          <w:rFonts w:ascii="宋体" w:hAnsi="宋体" w:eastAsia="宋体"/>
          <w:sz w:val="21"/>
          <w:szCs w:val="18"/>
        </w:rPr>
      </w:pPr>
      <w:r>
        <w:rPr>
          <w:rFonts w:ascii="宋体" w:hAnsi="宋体" w:eastAsia="宋体"/>
          <w:sz w:val="21"/>
          <w:szCs w:val="18"/>
        </w:rPr>
        <w:drawing>
          <wp:inline distT="0" distB="0" distL="114300" distR="114300">
            <wp:extent cx="3733800" cy="2705100"/>
            <wp:effectExtent l="0" t="0" r="0" b="0"/>
            <wp:docPr id="5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descr="IMG_257"/>
                    <pic:cNvPicPr>
                      <a:picLocks noChangeAspect="1"/>
                    </pic:cNvPicPr>
                  </pic:nvPicPr>
                  <pic:blipFill>
                    <a:blip r:embed="rId41"/>
                    <a:stretch>
                      <a:fillRect/>
                    </a:stretch>
                  </pic:blipFill>
                  <pic:spPr>
                    <a:xfrm>
                      <a:off x="0" y="0"/>
                      <a:ext cx="3733800" cy="2705100"/>
                    </a:xfrm>
                    <a:prstGeom prst="rect">
                      <a:avLst/>
                    </a:prstGeom>
                    <a:noFill/>
                    <a:ln w="9525">
                      <a:noFill/>
                    </a:ln>
                  </pic:spPr>
                </pic:pic>
              </a:graphicData>
            </a:graphic>
          </wp:inline>
        </w:drawing>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调整天线位置，防止其干扰到其它运动器件的动作，尽量避免天线过于贴近大面积金属材料；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电源管理模块必须安装在机器人的表面且便于扫码（电源管理模块ID）的地方；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当场比赛开始后的任何阶段，特别是强化改装阶段，不允许进行如下操作： </w:t>
      </w:r>
    </w:p>
    <w:p>
      <w:pPr>
        <w:pStyle w:val="28"/>
        <w:numPr>
          <w:ilvl w:val="0"/>
          <w:numId w:val="23"/>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更换航模电池或重新拔插航模电池等； </w:t>
      </w:r>
    </w:p>
    <w:p>
      <w:pPr>
        <w:pStyle w:val="28"/>
        <w:numPr>
          <w:ilvl w:val="0"/>
          <w:numId w:val="23"/>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按电源管理模块的复位按钮（禁止对电源管理模块进行任何操作）； </w:t>
      </w:r>
    </w:p>
    <w:p>
      <w:pPr>
        <w:pStyle w:val="28"/>
        <w:numPr>
          <w:ilvl w:val="0"/>
          <w:numId w:val="22"/>
        </w:numPr>
        <w:adjustRightInd w:val="0"/>
        <w:snapToGrid w:val="0"/>
        <w:spacing w:line="360" w:lineRule="auto"/>
        <w:ind w:firstLineChars="0"/>
        <w:rPr>
          <w:rFonts w:ascii="宋体" w:hAnsi="宋体" w:eastAsia="宋体"/>
          <w:sz w:val="21"/>
          <w:szCs w:val="18"/>
        </w:rPr>
      </w:pPr>
      <w:r>
        <w:rPr>
          <w:rFonts w:ascii="宋体" w:hAnsi="宋体" w:eastAsia="宋体"/>
          <w:sz w:val="21"/>
          <w:szCs w:val="18"/>
        </w:rPr>
        <w:t xml:space="preserve">当场比赛完成后，需自行给机器人重新供电，通过拔插航模电池，即可完成恢复供电； </w:t>
      </w:r>
    </w:p>
    <w:p>
      <w:pPr>
        <w:pStyle w:val="28"/>
        <w:numPr>
          <w:ilvl w:val="0"/>
          <w:numId w:val="22"/>
        </w:numPr>
        <w:adjustRightInd w:val="0"/>
        <w:snapToGrid w:val="0"/>
        <w:spacing w:line="360" w:lineRule="auto"/>
        <w:ind w:firstLineChars="0"/>
        <w:rPr>
          <w:rFonts w:ascii="宋体" w:hAnsi="宋体" w:eastAsia="宋体"/>
          <w:sz w:val="21"/>
          <w:szCs w:val="18"/>
        </w:rPr>
      </w:pPr>
      <w:r>
        <w:rPr>
          <w:rFonts w:hint="eastAsia" w:ascii="宋体" w:hAnsi="宋体" w:eastAsia="宋体"/>
          <w:sz w:val="21"/>
          <w:szCs w:val="18"/>
        </w:rPr>
        <w:t>电源管理模块与比赛系统中队伍信息一一对应，请勿擅自更换电源管理模块。如需更换，请联系工作人员。因擅自更换电源模块导致的任何问题由队伍自行承担。</w:t>
      </w:r>
    </w:p>
    <w:sectPr>
      <w:headerReference r:id="rId7" w:type="default"/>
      <w:footerReference r:id="rId8" w:type="default"/>
      <w:pgSz w:w="11906" w:h="16838"/>
      <w:pgMar w:top="1440" w:right="1797" w:bottom="1440" w:left="1797"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2-03-01T15:03:00Z" w:initials="A">
    <w:p w14:paraId="35C6123D">
      <w:pPr>
        <w:pStyle w:val="7"/>
      </w:pPr>
      <w:r>
        <w:rPr>
          <w:rFonts w:hint="eastAsia"/>
        </w:rPr>
        <w:t>上图左上角文本没全部显示，文本框要删除极课（现在已经删除）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5C612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黑体 CN Regular">
    <w:altName w:val="微软雅黑"/>
    <w:panose1 w:val="00000000000000000000"/>
    <w:charset w:val="86"/>
    <w:family w:val="swiss"/>
    <w:pitch w:val="default"/>
    <w:sig w:usb0="00000000" w:usb1="00000000" w:usb2="00000016" w:usb3="00000000" w:csb0="00060107"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思源黑体 CN Normal">
    <w:altName w:val="黑体"/>
    <w:panose1 w:val="00000000000000000000"/>
    <w:charset w:val="86"/>
    <w:family w:val="swiss"/>
    <w:pitch w:val="default"/>
    <w:sig w:usb0="00000000" w:usb1="00000000" w:usb2="00000016" w:usb3="00000000" w:csb0="00060107" w:csb1="00000000"/>
  </w:font>
  <w:font w:name="思源黑体 CN Heavy">
    <w:altName w:val="微软雅黑"/>
    <w:panose1 w:val="00000000000000000000"/>
    <w:charset w:val="86"/>
    <w:family w:val="swiss"/>
    <w:pitch w:val="default"/>
    <w:sig w:usb0="00000000" w:usb1="00000000" w:usb2="00000016" w:usb3="00000000" w:csb0="00060107" w:csb1="00000000"/>
  </w:font>
  <w:font w:name="Ar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2010600030101010101"/>
    <w:charset w:val="86"/>
    <w:family w:val="auto"/>
    <w:pitch w:val="default"/>
    <w:sig w:usb0="00000000" w:usb1="00000000" w:usb2="00000016" w:usb3="00000000" w:csb0="0004000F" w:csb1="00000000"/>
  </w:font>
  <w:font w:name="思源黑体 CN">
    <w:altName w:val="微软雅黑"/>
    <w:panose1 w:val="00000000000000000000"/>
    <w:charset w:val="86"/>
    <w:family w:val="swiss"/>
    <w:pitch w:val="default"/>
    <w:sig w:usb0="00000000" w:usb1="00000000" w:usb2="00000016" w:usb3="00000000" w:csb0="00060107" w:csb1="00000000"/>
  </w:font>
  <w:font w:name="方正小标宋简体">
    <w:altName w:val="微软雅黑"/>
    <w:panose1 w:val="03000509000000000000"/>
    <w:charset w:val="86"/>
    <w:family w:val="script"/>
    <w:pitch w:val="default"/>
    <w:sig w:usb0="00000000" w:usb1="00000000" w:usb2="00000010" w:usb3="00000000" w:csb0="00040000" w:csb1="00000000"/>
  </w:font>
  <w:font w:name="思源黑体">
    <w:altName w:val="微软雅黑"/>
    <w:panose1 w:val="00000000000000000000"/>
    <w:charset w:val="86"/>
    <w:family w:val="swiss"/>
    <w:pitch w:val="default"/>
    <w:sig w:usb0="00000000" w:usb1="00000000" w:usb2="00000016" w:usb3="00000000" w:csb0="002E0107" w:csb1="00000000"/>
  </w:font>
  <w:font w:name="Courier New">
    <w:panose1 w:val="02070309020205020404"/>
    <w:charset w:val="00"/>
    <w:family w:val="modern"/>
    <w:pitch w:val="default"/>
    <w:sig w:usb0="E0002AFF" w:usb1="C0007843" w:usb2="00000009" w:usb3="00000000" w:csb0="400001FF" w:csb1="FFFF0000"/>
  </w:font>
  <w:font w:name="思源黑体 CN Bold">
    <w:altName w:val="黑体"/>
    <w:panose1 w:val="00000000000000000000"/>
    <w:charset w:val="80"/>
    <w:family w:val="swiss"/>
    <w:pitch w:val="default"/>
    <w:sig w:usb0="00000000" w:usb1="00000000" w:usb2="00000016" w:usb3="00000000" w:csb0="60060107" w:csb1="00000000"/>
  </w:font>
  <w:font w:name="Yu Gothic">
    <w:altName w:val="MS UI Gothic"/>
    <w:panose1 w:val="020B0400000000000000"/>
    <w:charset w:val="80"/>
    <w:family w:val="swiss"/>
    <w:pitch w:val="default"/>
    <w:sig w:usb0="00000000" w:usb1="00000000" w:usb2="00000016" w:usb3="00000000" w:csb0="0002009F" w:csb1="00000000"/>
  </w:font>
  <w:font w:name="MS UI Gothic">
    <w:panose1 w:val="020B0600070205080204"/>
    <w:charset w:val="80"/>
    <w:family w:val="auto"/>
    <w:pitch w:val="default"/>
    <w:sig w:usb0="E00002FF" w:usb1="6AC7FDFB" w:usb2="00000012" w:usb3="00000000" w:csb0="4002009F" w:csb1="DFD70000"/>
  </w:font>
  <w:font w:name="Segoe UI Emoji">
    <w:altName w:val="Segoe UI"/>
    <w:panose1 w:val="020B0502040204020203"/>
    <w:charset w:val="00"/>
    <w:family w:val="swiss"/>
    <w:pitch w:val="default"/>
    <w:sig w:usb0="00000000" w:usb1="00000000" w:usb2="00000000" w:usb3="00000000" w:csb0="00000001" w:csb1="00000000"/>
  </w:font>
  <w:font w:name="Segoe UI">
    <w:panose1 w:val="020B0502040204020203"/>
    <w:charset w:val="00"/>
    <w:family w:val="auto"/>
    <w:pitch w:val="default"/>
    <w:sig w:usb0="E10022FF" w:usb1="C000E47F" w:usb2="00000029" w:usb3="00000000" w:csb0="200001DF" w:csb1="20000000"/>
  </w:font>
  <w:font w:name="等线 Light">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2860358"/>
      <w:docPartObj>
        <w:docPartGallery w:val="AutoText"/>
      </w:docPartObj>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rPr>
        <w:rFonts w:ascii="Times New Roman" w:hAnsi="Times New Roman" w:cs="Times New Roman" w:eastAsiaTheme="minorEastAsia"/>
        <w:color w:val="D64B40"/>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68BBDD"/>
    <w:multiLevelType w:val="singleLevel"/>
    <w:tmpl w:val="A068BBDD"/>
    <w:lvl w:ilvl="0" w:tentative="0">
      <w:start w:val="1"/>
      <w:numFmt w:val="lowerLetter"/>
      <w:lvlText w:val="%1."/>
      <w:lvlJc w:val="left"/>
      <w:pPr>
        <w:tabs>
          <w:tab w:val="left" w:pos="1680"/>
        </w:tabs>
        <w:ind w:left="2105" w:hanging="425"/>
      </w:pPr>
      <w:rPr>
        <w:rFonts w:hint="default"/>
      </w:rPr>
    </w:lvl>
  </w:abstractNum>
  <w:abstractNum w:abstractNumId="1">
    <w:nsid w:val="B8812249"/>
    <w:multiLevelType w:val="singleLevel"/>
    <w:tmpl w:val="B8812249"/>
    <w:lvl w:ilvl="0" w:tentative="0">
      <w:start w:val="1"/>
      <w:numFmt w:val="bullet"/>
      <w:lvlText w:val=""/>
      <w:lvlJc w:val="left"/>
      <w:pPr>
        <w:tabs>
          <w:tab w:val="left" w:pos="420"/>
        </w:tabs>
        <w:ind w:left="840" w:hanging="420"/>
      </w:pPr>
      <w:rPr>
        <w:rFonts w:hint="default" w:ascii="Wingdings" w:hAnsi="Wingdings"/>
      </w:rPr>
    </w:lvl>
  </w:abstractNum>
  <w:abstractNum w:abstractNumId="2">
    <w:nsid w:val="CF053A14"/>
    <w:multiLevelType w:val="multilevel"/>
    <w:tmpl w:val="CF053A1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E264D50C"/>
    <w:multiLevelType w:val="singleLevel"/>
    <w:tmpl w:val="E264D50C"/>
    <w:lvl w:ilvl="0" w:tentative="0">
      <w:start w:val="1"/>
      <w:numFmt w:val="bullet"/>
      <w:lvlText w:val=""/>
      <w:lvlJc w:val="left"/>
      <w:pPr>
        <w:tabs>
          <w:tab w:val="left" w:pos="840"/>
        </w:tabs>
        <w:ind w:left="1260" w:hanging="420"/>
      </w:pPr>
      <w:rPr>
        <w:rFonts w:hint="default" w:ascii="Wingdings" w:hAnsi="Wingdings"/>
      </w:rPr>
    </w:lvl>
  </w:abstractNum>
  <w:abstractNum w:abstractNumId="4">
    <w:nsid w:val="ED8F16C2"/>
    <w:multiLevelType w:val="multilevel"/>
    <w:tmpl w:val="ED8F16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14ED7933"/>
    <w:multiLevelType w:val="multilevel"/>
    <w:tmpl w:val="14ED7933"/>
    <w:lvl w:ilvl="0" w:tentative="0">
      <w:start w:val="1"/>
      <w:numFmt w:val="decimalZero"/>
      <w:pStyle w:val="34"/>
      <w:lvlText w:val="R%1. "/>
      <w:lvlJc w:val="left"/>
      <w:pPr>
        <w:ind w:left="1213" w:hanging="362"/>
      </w:pPr>
      <w:rPr>
        <w:rFonts w:hint="eastAsia"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440" w:hanging="362"/>
      </w:pPr>
      <w:rPr>
        <w:rFonts w:hint="eastAsia"/>
      </w:rPr>
    </w:lvl>
    <w:lvl w:ilvl="2" w:tentative="0">
      <w:start w:val="1"/>
      <w:numFmt w:val="lowerRoman"/>
      <w:lvlText w:val="%3."/>
      <w:lvlJc w:val="right"/>
      <w:pPr>
        <w:ind w:left="1667" w:hanging="362"/>
      </w:pPr>
      <w:rPr>
        <w:rFonts w:hint="eastAsia"/>
      </w:rPr>
    </w:lvl>
    <w:lvl w:ilvl="3" w:tentative="0">
      <w:start w:val="1"/>
      <w:numFmt w:val="decimal"/>
      <w:lvlText w:val="%4."/>
      <w:lvlJc w:val="left"/>
      <w:pPr>
        <w:ind w:left="1894" w:hanging="362"/>
      </w:pPr>
      <w:rPr>
        <w:rFonts w:hint="eastAsia"/>
      </w:rPr>
    </w:lvl>
    <w:lvl w:ilvl="4" w:tentative="0">
      <w:start w:val="1"/>
      <w:numFmt w:val="lowerLetter"/>
      <w:lvlText w:val="%5."/>
      <w:lvlJc w:val="left"/>
      <w:pPr>
        <w:ind w:left="2121" w:hanging="362"/>
      </w:pPr>
      <w:rPr>
        <w:rFonts w:hint="eastAsia"/>
      </w:rPr>
    </w:lvl>
    <w:lvl w:ilvl="5" w:tentative="0">
      <w:start w:val="1"/>
      <w:numFmt w:val="lowerRoman"/>
      <w:lvlText w:val="%6."/>
      <w:lvlJc w:val="right"/>
      <w:pPr>
        <w:ind w:left="2348" w:hanging="362"/>
      </w:pPr>
      <w:rPr>
        <w:rFonts w:hint="eastAsia"/>
      </w:rPr>
    </w:lvl>
    <w:lvl w:ilvl="6" w:tentative="0">
      <w:start w:val="1"/>
      <w:numFmt w:val="decimal"/>
      <w:lvlText w:val="%7."/>
      <w:lvlJc w:val="left"/>
      <w:pPr>
        <w:ind w:left="2575" w:hanging="362"/>
      </w:pPr>
      <w:rPr>
        <w:rFonts w:hint="eastAsia"/>
      </w:rPr>
    </w:lvl>
    <w:lvl w:ilvl="7" w:tentative="0">
      <w:start w:val="1"/>
      <w:numFmt w:val="lowerLetter"/>
      <w:lvlText w:val="%8."/>
      <w:lvlJc w:val="left"/>
      <w:pPr>
        <w:ind w:left="2802" w:hanging="362"/>
      </w:pPr>
      <w:rPr>
        <w:rFonts w:hint="eastAsia"/>
      </w:rPr>
    </w:lvl>
    <w:lvl w:ilvl="8" w:tentative="0">
      <w:start w:val="1"/>
      <w:numFmt w:val="lowerRoman"/>
      <w:lvlText w:val="%9."/>
      <w:lvlJc w:val="right"/>
      <w:pPr>
        <w:ind w:left="3029" w:hanging="362"/>
      </w:pPr>
      <w:rPr>
        <w:rFonts w:hint="eastAsia"/>
      </w:rPr>
    </w:lvl>
  </w:abstractNum>
  <w:abstractNum w:abstractNumId="6">
    <w:nsid w:val="329C3827"/>
    <w:multiLevelType w:val="multilevel"/>
    <w:tmpl w:val="329C3827"/>
    <w:lvl w:ilvl="0" w:tentative="0">
      <w:start w:val="1"/>
      <w:numFmt w:val="decimalZero"/>
      <w:pStyle w:val="100"/>
      <w:lvlText w:val="E%1. "/>
      <w:lvlJc w:val="left"/>
      <w:pPr>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7">
    <w:nsid w:val="35827128"/>
    <w:multiLevelType w:val="multilevel"/>
    <w:tmpl w:val="35827128"/>
    <w:lvl w:ilvl="0" w:tentative="0">
      <w:start w:val="4"/>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8">
    <w:nsid w:val="3C1F344D"/>
    <w:multiLevelType w:val="multilevel"/>
    <w:tmpl w:val="3C1F344D"/>
    <w:lvl w:ilvl="0" w:tentative="0">
      <w:start w:val="4"/>
      <w:numFmt w:val="bullet"/>
      <w:lvlText w:val="·"/>
      <w:lvlJc w:val="left"/>
      <w:pPr>
        <w:ind w:left="560" w:hanging="360"/>
      </w:pPr>
      <w:rPr>
        <w:rFonts w:hint="eastAsia" w:ascii="宋体" w:hAnsi="宋体" w:eastAsia="宋体" w:cstheme="minorBidi"/>
        <w:b/>
        <w:sz w:val="28"/>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9">
    <w:nsid w:val="3D650981"/>
    <w:multiLevelType w:val="multilevel"/>
    <w:tmpl w:val="3D650981"/>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55"/>
      <w:lvlText w:val="%1.%2.%3"/>
      <w:lvlJc w:val="left"/>
      <w:pPr>
        <w:ind w:left="1134" w:hanging="567"/>
      </w:pPr>
      <w:rPr>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52652F88"/>
    <w:multiLevelType w:val="multilevel"/>
    <w:tmpl w:val="52652F88"/>
    <w:lvl w:ilvl="0" w:tentative="0">
      <w:start w:val="1"/>
      <w:numFmt w:val="decimalZero"/>
      <w:pStyle w:val="94"/>
      <w:lvlText w:val="T%1."/>
      <w:lvlJc w:val="left"/>
      <w:pPr>
        <w:ind w:left="1271"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11">
    <w:nsid w:val="573D7E66"/>
    <w:multiLevelType w:val="multilevel"/>
    <w:tmpl w:val="573D7E66"/>
    <w:lvl w:ilvl="0" w:tentative="0">
      <w:start w:val="4"/>
      <w:numFmt w:val="decimal"/>
      <w:lvlText w:val="%1"/>
      <w:lvlJc w:val="left"/>
      <w:pPr>
        <w:ind w:left="405" w:hanging="405"/>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4320" w:hanging="144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6120" w:hanging="1800"/>
      </w:pPr>
      <w:rPr>
        <w:rFonts w:hint="default"/>
      </w:rPr>
    </w:lvl>
    <w:lvl w:ilvl="7" w:tentative="0">
      <w:start w:val="1"/>
      <w:numFmt w:val="decimal"/>
      <w:lvlText w:val="%1.%2.%3.%4.%5.%6.%7.%8"/>
      <w:lvlJc w:val="left"/>
      <w:pPr>
        <w:ind w:left="7200" w:hanging="2160"/>
      </w:pPr>
      <w:rPr>
        <w:rFonts w:hint="default"/>
      </w:rPr>
    </w:lvl>
    <w:lvl w:ilvl="8" w:tentative="0">
      <w:start w:val="1"/>
      <w:numFmt w:val="decimal"/>
      <w:lvlText w:val="%1.%2.%3.%4.%5.%6.%7.%8.%9"/>
      <w:lvlJc w:val="left"/>
      <w:pPr>
        <w:ind w:left="7920" w:hanging="2160"/>
      </w:pPr>
      <w:rPr>
        <w:rFonts w:hint="default"/>
      </w:rPr>
    </w:lvl>
  </w:abstractNum>
  <w:abstractNum w:abstractNumId="12">
    <w:nsid w:val="5B03561F"/>
    <w:multiLevelType w:val="multilevel"/>
    <w:tmpl w:val="5B03561F"/>
    <w:lvl w:ilvl="0" w:tentative="0">
      <w:start w:val="1"/>
      <w:numFmt w:val="decimalZero"/>
      <w:pStyle w:val="63"/>
      <w:lvlText w:val="M%1. "/>
      <w:lvlJc w:val="left"/>
      <w:pPr>
        <w:ind w:left="360" w:hanging="360"/>
      </w:pPr>
      <w:rPr>
        <w:rFonts w:hint="eastAsia" w:ascii="思源黑体 CN Heavy" w:hAnsi="思源黑体 CN Heavy"/>
        <w:b/>
        <w:bCs w:val="0"/>
        <w:i w:val="0"/>
        <w:iCs w:val="0"/>
        <w:caps w:val="0"/>
        <w:smallCaps w:val="0"/>
        <w:strike w:val="0"/>
        <w:dstrike w:val="0"/>
        <w:outline w:val="0"/>
        <w:shadow w:val="0"/>
        <w:emboss w:val="0"/>
        <w:imprint w:val="0"/>
        <w:vanish w:val="0"/>
        <w:color w:val="000000"/>
        <w:spacing w:val="0"/>
        <w:position w:val="0"/>
        <w:sz w:val="24"/>
        <w:u w:val="none"/>
        <w:vertAlign w:val="baseline"/>
        <w14:ligatures w14:val="none"/>
        <w14:numForm w14:val="default"/>
        <w14:numSpacing w14:val="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124C27A"/>
    <w:multiLevelType w:val="multilevel"/>
    <w:tmpl w:val="6124C2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6125B602"/>
    <w:multiLevelType w:val="multilevel"/>
    <w:tmpl w:val="6125B602"/>
    <w:lvl w:ilvl="0" w:tentative="0">
      <w:start w:val="1"/>
      <w:numFmt w:val="decimalFullWidth"/>
      <w:pStyle w:val="30"/>
      <w:lvlText w:val="附录%1. "/>
      <w:lvlJc w:val="left"/>
      <w:pPr>
        <w:ind w:left="420" w:hanging="420"/>
      </w:pPr>
      <w:rPr>
        <w:rFonts w:hint="eastAsia" w:ascii="Cambria" w:hAnsi="Cambria" w:eastAsia="思源黑体 CN Normal" w:cs="等线 Light"/>
        <w:color w:val="C00000"/>
      </w:rPr>
    </w:lvl>
    <w:lvl w:ilvl="1" w:tentative="0">
      <w:start w:val="1"/>
      <w:numFmt w:val="lowerLetter"/>
      <w:lvlText w:val="%2)"/>
      <w:lvlJc w:val="left"/>
      <w:pPr>
        <w:ind w:left="1165" w:hanging="420"/>
      </w:pPr>
      <w:rPr>
        <w:rFonts w:hint="eastAsia"/>
      </w:rPr>
    </w:lvl>
    <w:lvl w:ilvl="2" w:tentative="0">
      <w:start w:val="1"/>
      <w:numFmt w:val="lowerRoman"/>
      <w:lvlText w:val="%3."/>
      <w:lvlJc w:val="right"/>
      <w:pPr>
        <w:ind w:left="1585" w:hanging="420"/>
      </w:pPr>
      <w:rPr>
        <w:rFonts w:hint="eastAsia"/>
      </w:rPr>
    </w:lvl>
    <w:lvl w:ilvl="3" w:tentative="0">
      <w:start w:val="1"/>
      <w:numFmt w:val="decimal"/>
      <w:lvlText w:val="%4."/>
      <w:lvlJc w:val="left"/>
      <w:pPr>
        <w:ind w:left="2005" w:hanging="420"/>
      </w:pPr>
      <w:rPr>
        <w:rFonts w:hint="eastAsia"/>
      </w:rPr>
    </w:lvl>
    <w:lvl w:ilvl="4" w:tentative="0">
      <w:start w:val="1"/>
      <w:numFmt w:val="lowerLetter"/>
      <w:lvlText w:val="%5)"/>
      <w:lvlJc w:val="left"/>
      <w:pPr>
        <w:ind w:left="2425" w:hanging="420"/>
      </w:pPr>
      <w:rPr>
        <w:rFonts w:hint="eastAsia"/>
      </w:rPr>
    </w:lvl>
    <w:lvl w:ilvl="5" w:tentative="0">
      <w:start w:val="1"/>
      <w:numFmt w:val="lowerRoman"/>
      <w:lvlText w:val="%6."/>
      <w:lvlJc w:val="right"/>
      <w:pPr>
        <w:ind w:left="2845" w:hanging="420"/>
      </w:pPr>
      <w:rPr>
        <w:rFonts w:hint="eastAsia"/>
      </w:rPr>
    </w:lvl>
    <w:lvl w:ilvl="6" w:tentative="0">
      <w:start w:val="1"/>
      <w:numFmt w:val="decimal"/>
      <w:lvlText w:val="%7."/>
      <w:lvlJc w:val="left"/>
      <w:pPr>
        <w:ind w:left="3265" w:hanging="420"/>
      </w:pPr>
      <w:rPr>
        <w:rFonts w:hint="eastAsia"/>
      </w:rPr>
    </w:lvl>
    <w:lvl w:ilvl="7" w:tentative="0">
      <w:start w:val="1"/>
      <w:numFmt w:val="lowerLetter"/>
      <w:lvlText w:val="%8)"/>
      <w:lvlJc w:val="left"/>
      <w:pPr>
        <w:ind w:left="3685" w:hanging="420"/>
      </w:pPr>
      <w:rPr>
        <w:rFonts w:hint="eastAsia"/>
      </w:rPr>
    </w:lvl>
    <w:lvl w:ilvl="8" w:tentative="0">
      <w:start w:val="1"/>
      <w:numFmt w:val="lowerRoman"/>
      <w:lvlText w:val="%9."/>
      <w:lvlJc w:val="right"/>
      <w:pPr>
        <w:ind w:left="4105" w:hanging="420"/>
      </w:pPr>
      <w:rPr>
        <w:rFonts w:hint="eastAsia"/>
      </w:rPr>
    </w:lvl>
  </w:abstractNum>
  <w:abstractNum w:abstractNumId="15">
    <w:nsid w:val="6125B639"/>
    <w:multiLevelType w:val="multilevel"/>
    <w:tmpl w:val="6125B639"/>
    <w:lvl w:ilvl="0" w:tentative="0">
      <w:start w:val="1"/>
      <w:numFmt w:val="decimal"/>
      <w:pStyle w:val="36"/>
      <w:lvlText w:val="E0%1. "/>
      <w:lvlJc w:val="left"/>
      <w:pPr>
        <w:ind w:left="1271" w:hanging="420"/>
      </w:pPr>
      <w:rPr>
        <w:rFonts w:hint="default" w:ascii="微软雅黑" w:hAnsi="微软雅黑" w:eastAsia="微软雅黑" w:cs="Ari"/>
        <w:b/>
        <w:color w:val="auto"/>
      </w:rPr>
    </w:lvl>
    <w:lvl w:ilvl="1" w:tentative="0">
      <w:start w:val="1"/>
      <w:numFmt w:val="bullet"/>
      <w:lvlText w:val=""/>
      <w:lvlJc w:val="left"/>
      <w:pPr>
        <w:ind w:left="1402" w:hanging="420"/>
      </w:pPr>
      <w:rPr>
        <w:rFonts w:hint="default" w:ascii="Symbol" w:hAnsi="Symbol"/>
      </w:rPr>
    </w:lvl>
    <w:lvl w:ilvl="2" w:tentative="0">
      <w:start w:val="1"/>
      <w:numFmt w:val="bullet"/>
      <w:lvlText w:val=""/>
      <w:lvlJc w:val="left"/>
      <w:pPr>
        <w:ind w:left="1822" w:hanging="420"/>
      </w:pPr>
      <w:rPr>
        <w:rFonts w:hint="default" w:ascii="Symbol" w:hAnsi="Symbol"/>
      </w:rPr>
    </w:lvl>
    <w:lvl w:ilvl="3" w:tentative="0">
      <w:start w:val="1"/>
      <w:numFmt w:val="bullet"/>
      <w:lvlText w:val=""/>
      <w:lvlJc w:val="left"/>
      <w:pPr>
        <w:ind w:left="2242" w:hanging="420"/>
      </w:pPr>
      <w:rPr>
        <w:rFonts w:hint="default" w:ascii="Symbol" w:hAnsi="Symbol"/>
      </w:rPr>
    </w:lvl>
    <w:lvl w:ilvl="4" w:tentative="0">
      <w:start w:val="1"/>
      <w:numFmt w:val="bullet"/>
      <w:lvlText w:val=""/>
      <w:lvlJc w:val="left"/>
      <w:pPr>
        <w:ind w:left="2662" w:hanging="420"/>
      </w:pPr>
      <w:rPr>
        <w:rFonts w:hint="default" w:ascii="Symbol" w:hAnsi="Symbol"/>
      </w:rPr>
    </w:lvl>
    <w:lvl w:ilvl="5" w:tentative="0">
      <w:start w:val="1"/>
      <w:numFmt w:val="bullet"/>
      <w:lvlText w:val=""/>
      <w:lvlJc w:val="left"/>
      <w:pPr>
        <w:ind w:left="3082" w:hanging="420"/>
      </w:pPr>
      <w:rPr>
        <w:rFonts w:hint="default" w:ascii="Symbol" w:hAnsi="Symbol"/>
      </w:rPr>
    </w:lvl>
    <w:lvl w:ilvl="6" w:tentative="0">
      <w:start w:val="1"/>
      <w:numFmt w:val="bullet"/>
      <w:lvlText w:val=""/>
      <w:lvlJc w:val="left"/>
      <w:pPr>
        <w:ind w:left="3502" w:hanging="420"/>
      </w:pPr>
      <w:rPr>
        <w:rFonts w:hint="default" w:ascii="Symbol" w:hAnsi="Symbol"/>
      </w:rPr>
    </w:lvl>
    <w:lvl w:ilvl="7" w:tentative="0">
      <w:start w:val="1"/>
      <w:numFmt w:val="bullet"/>
      <w:lvlText w:val=""/>
      <w:lvlJc w:val="left"/>
      <w:pPr>
        <w:ind w:left="3922" w:hanging="420"/>
      </w:pPr>
      <w:rPr>
        <w:rFonts w:hint="default" w:ascii="Symbol" w:hAnsi="Symbol"/>
      </w:rPr>
    </w:lvl>
    <w:lvl w:ilvl="8" w:tentative="0">
      <w:start w:val="1"/>
      <w:numFmt w:val="bullet"/>
      <w:lvlText w:val=""/>
      <w:lvlJc w:val="left"/>
      <w:pPr>
        <w:ind w:left="4342" w:hanging="420"/>
      </w:pPr>
      <w:rPr>
        <w:rFonts w:hint="default" w:ascii="Symbol" w:hAnsi="Symbol"/>
      </w:rPr>
    </w:lvl>
  </w:abstractNum>
  <w:abstractNum w:abstractNumId="16">
    <w:nsid w:val="6125D276"/>
    <w:multiLevelType w:val="singleLevel"/>
    <w:tmpl w:val="6125D276"/>
    <w:lvl w:ilvl="0" w:tentative="0">
      <w:start w:val="1"/>
      <w:numFmt w:val="bullet"/>
      <w:lvlText w:val=""/>
      <w:lvlJc w:val="left"/>
      <w:pPr>
        <w:tabs>
          <w:tab w:val="left" w:pos="420"/>
        </w:tabs>
        <w:ind w:left="840" w:hanging="420"/>
      </w:pPr>
      <w:rPr>
        <w:rFonts w:hint="default" w:ascii="Wingdings" w:hAnsi="Wingdings" w:eastAsia="宋体" w:cs="Wingdings"/>
        <w:sz w:val="13"/>
      </w:rPr>
    </w:lvl>
  </w:abstractNum>
  <w:abstractNum w:abstractNumId="17">
    <w:nsid w:val="6125D3A4"/>
    <w:multiLevelType w:val="singleLevel"/>
    <w:tmpl w:val="6125D3A4"/>
    <w:lvl w:ilvl="0" w:tentative="0">
      <w:start w:val="1"/>
      <w:numFmt w:val="decimal"/>
      <w:lvlText w:val="%1)"/>
      <w:lvlJc w:val="left"/>
      <w:pPr>
        <w:ind w:left="425" w:hanging="425"/>
      </w:pPr>
      <w:rPr>
        <w:rFonts w:hint="default"/>
      </w:rPr>
    </w:lvl>
  </w:abstractNum>
  <w:abstractNum w:abstractNumId="18">
    <w:nsid w:val="6125D3BE"/>
    <w:multiLevelType w:val="singleLevel"/>
    <w:tmpl w:val="6125D3BE"/>
    <w:lvl w:ilvl="0" w:tentative="0">
      <w:start w:val="1"/>
      <w:numFmt w:val="decimal"/>
      <w:lvlText w:val="%1)"/>
      <w:lvlJc w:val="left"/>
      <w:pPr>
        <w:ind w:left="425" w:hanging="425"/>
      </w:pPr>
      <w:rPr>
        <w:rFonts w:hint="default"/>
      </w:rPr>
    </w:lvl>
  </w:abstractNum>
  <w:abstractNum w:abstractNumId="19">
    <w:nsid w:val="623A4B35"/>
    <w:multiLevelType w:val="multilevel"/>
    <w:tmpl w:val="623A4B3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0">
    <w:nsid w:val="640E3978"/>
    <w:multiLevelType w:val="multilevel"/>
    <w:tmpl w:val="640E3978"/>
    <w:lvl w:ilvl="0" w:tentative="0">
      <w:start w:val="1"/>
      <w:numFmt w:val="decimalZero"/>
      <w:pStyle w:val="96"/>
      <w:lvlText w:val="R%1. "/>
      <w:lvlJc w:val="left"/>
      <w:pPr>
        <w:tabs>
          <w:tab w:val="left" w:pos="1213"/>
        </w:tabs>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531" w:hanging="420"/>
      </w:pPr>
      <w:rPr>
        <w:rFonts w:hint="eastAsia"/>
      </w:rPr>
    </w:lvl>
    <w:lvl w:ilvl="2" w:tentative="0">
      <w:start w:val="1"/>
      <w:numFmt w:val="lowerRoman"/>
      <w:lvlText w:val="%3."/>
      <w:lvlJc w:val="right"/>
      <w:pPr>
        <w:ind w:left="2951" w:hanging="420"/>
      </w:pPr>
      <w:rPr>
        <w:rFonts w:hint="eastAsia"/>
      </w:rPr>
    </w:lvl>
    <w:lvl w:ilvl="3" w:tentative="0">
      <w:start w:val="1"/>
      <w:numFmt w:val="decimal"/>
      <w:lvlText w:val="%4."/>
      <w:lvlJc w:val="left"/>
      <w:pPr>
        <w:ind w:left="3371" w:hanging="420"/>
      </w:pPr>
      <w:rPr>
        <w:rFonts w:hint="eastAsia"/>
      </w:rPr>
    </w:lvl>
    <w:lvl w:ilvl="4" w:tentative="0">
      <w:start w:val="1"/>
      <w:numFmt w:val="lowerLetter"/>
      <w:lvlText w:val="%5)"/>
      <w:lvlJc w:val="left"/>
      <w:pPr>
        <w:ind w:left="3791" w:hanging="420"/>
      </w:pPr>
      <w:rPr>
        <w:rFonts w:hint="eastAsia"/>
      </w:rPr>
    </w:lvl>
    <w:lvl w:ilvl="5" w:tentative="0">
      <w:start w:val="1"/>
      <w:numFmt w:val="lowerRoman"/>
      <w:lvlText w:val="%6."/>
      <w:lvlJc w:val="right"/>
      <w:pPr>
        <w:ind w:left="4211" w:hanging="420"/>
      </w:pPr>
      <w:rPr>
        <w:rFonts w:hint="eastAsia"/>
      </w:rPr>
    </w:lvl>
    <w:lvl w:ilvl="6" w:tentative="0">
      <w:start w:val="1"/>
      <w:numFmt w:val="decimal"/>
      <w:lvlText w:val="%7."/>
      <w:lvlJc w:val="left"/>
      <w:pPr>
        <w:ind w:left="4631" w:hanging="420"/>
      </w:pPr>
      <w:rPr>
        <w:rFonts w:hint="eastAsia"/>
      </w:rPr>
    </w:lvl>
    <w:lvl w:ilvl="7" w:tentative="0">
      <w:start w:val="1"/>
      <w:numFmt w:val="lowerLetter"/>
      <w:lvlText w:val="%8)"/>
      <w:lvlJc w:val="left"/>
      <w:pPr>
        <w:ind w:left="5051" w:hanging="420"/>
      </w:pPr>
      <w:rPr>
        <w:rFonts w:hint="eastAsia"/>
      </w:rPr>
    </w:lvl>
    <w:lvl w:ilvl="8" w:tentative="0">
      <w:start w:val="1"/>
      <w:numFmt w:val="lowerRoman"/>
      <w:lvlText w:val="%9."/>
      <w:lvlJc w:val="right"/>
      <w:pPr>
        <w:ind w:left="5471" w:hanging="420"/>
      </w:pPr>
      <w:rPr>
        <w:rFonts w:hint="eastAsia"/>
      </w:rPr>
    </w:lvl>
  </w:abstractNum>
  <w:abstractNum w:abstractNumId="21">
    <w:nsid w:val="6F990B5E"/>
    <w:multiLevelType w:val="multilevel"/>
    <w:tmpl w:val="6F990B5E"/>
    <w:lvl w:ilvl="0" w:tentative="0">
      <w:start w:val="1"/>
      <w:numFmt w:val="bullet"/>
      <w:pStyle w:val="38"/>
      <w:lvlText w:val=""/>
      <w:lvlJc w:val="left"/>
      <w:pPr>
        <w:ind w:left="1128"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2">
    <w:nsid w:val="7B164970"/>
    <w:multiLevelType w:val="multilevel"/>
    <w:tmpl w:val="7B164970"/>
    <w:lvl w:ilvl="0" w:tentative="0">
      <w:start w:val="1"/>
      <w:numFmt w:val="decimalZero"/>
      <w:lvlText w:val="T%1. "/>
      <w:lvlJc w:val="left"/>
      <w:pPr>
        <w:ind w:left="785" w:hanging="360"/>
      </w:pPr>
      <w:rPr>
        <w:rFonts w:hint="eastAsia" w:ascii="思源黑体 CN Regular" w:hAnsi="思源黑体 CN Regular"/>
        <w:b/>
        <w:bCs w:val="0"/>
        <w:i w:val="0"/>
        <w:iCs w:val="0"/>
        <w:caps w:val="0"/>
        <w:smallCaps w:val="0"/>
        <w:strike w:val="0"/>
        <w:dstrike w:val="0"/>
        <w:outline w:val="0"/>
        <w:shadow w:val="0"/>
        <w:emboss w:val="0"/>
        <w:imprint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num w:numId="1">
    <w:abstractNumId w:val="14"/>
  </w:num>
  <w:num w:numId="2">
    <w:abstractNumId w:val="5"/>
  </w:num>
  <w:num w:numId="3">
    <w:abstractNumId w:val="15"/>
  </w:num>
  <w:num w:numId="4">
    <w:abstractNumId w:val="21"/>
  </w:num>
  <w:num w:numId="5">
    <w:abstractNumId w:val="9"/>
  </w:num>
  <w:num w:numId="6">
    <w:abstractNumId w:val="12"/>
  </w:num>
  <w:num w:numId="7">
    <w:abstractNumId w:val="10"/>
  </w:num>
  <w:num w:numId="8">
    <w:abstractNumId w:val="20"/>
  </w:num>
  <w:num w:numId="9">
    <w:abstractNumId w:val="6"/>
  </w:num>
  <w:num w:numId="10">
    <w:abstractNumId w:val="11"/>
  </w:num>
  <w:num w:numId="11">
    <w:abstractNumId w:val="7"/>
  </w:num>
  <w:num w:numId="12">
    <w:abstractNumId w:val="22"/>
  </w:num>
  <w:num w:numId="13">
    <w:abstractNumId w:val="18"/>
  </w:num>
  <w:num w:numId="14">
    <w:abstractNumId w:val="17"/>
  </w:num>
  <w:num w:numId="15">
    <w:abstractNumId w:val="19"/>
  </w:num>
  <w:num w:numId="16">
    <w:abstractNumId w:val="4"/>
  </w:num>
  <w:num w:numId="17">
    <w:abstractNumId w:val="2"/>
  </w:num>
  <w:num w:numId="18">
    <w:abstractNumId w:val="13"/>
  </w:num>
  <w:num w:numId="19">
    <w:abstractNumId w:val="16"/>
  </w:num>
  <w:num w:numId="20">
    <w:abstractNumId w:val="8"/>
  </w:num>
  <w:num w:numId="21">
    <w:abstractNumId w:val="1"/>
  </w:num>
  <w:num w:numId="22">
    <w:abstractNumId w:val="3"/>
  </w:num>
  <w:num w:numId="2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0"/>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568"/>
    <w:rsid w:val="00001B4C"/>
    <w:rsid w:val="00001E5C"/>
    <w:rsid w:val="0000214D"/>
    <w:rsid w:val="00003018"/>
    <w:rsid w:val="0000309A"/>
    <w:rsid w:val="000033BF"/>
    <w:rsid w:val="0000358F"/>
    <w:rsid w:val="00003799"/>
    <w:rsid w:val="00003A65"/>
    <w:rsid w:val="0000498B"/>
    <w:rsid w:val="00004D65"/>
    <w:rsid w:val="00005405"/>
    <w:rsid w:val="0000585D"/>
    <w:rsid w:val="00005A3B"/>
    <w:rsid w:val="000060FD"/>
    <w:rsid w:val="00006186"/>
    <w:rsid w:val="000064BF"/>
    <w:rsid w:val="000066DC"/>
    <w:rsid w:val="0000715F"/>
    <w:rsid w:val="00007168"/>
    <w:rsid w:val="00007174"/>
    <w:rsid w:val="000076F5"/>
    <w:rsid w:val="00007749"/>
    <w:rsid w:val="00007D66"/>
    <w:rsid w:val="00010ACF"/>
    <w:rsid w:val="00011BED"/>
    <w:rsid w:val="00012536"/>
    <w:rsid w:val="000128F5"/>
    <w:rsid w:val="000128FC"/>
    <w:rsid w:val="00012B2E"/>
    <w:rsid w:val="00013090"/>
    <w:rsid w:val="0001423A"/>
    <w:rsid w:val="00014884"/>
    <w:rsid w:val="00014C56"/>
    <w:rsid w:val="00014C92"/>
    <w:rsid w:val="00014D31"/>
    <w:rsid w:val="00015660"/>
    <w:rsid w:val="00017E95"/>
    <w:rsid w:val="00020645"/>
    <w:rsid w:val="000216BA"/>
    <w:rsid w:val="00021A12"/>
    <w:rsid w:val="00021C77"/>
    <w:rsid w:val="00021EB2"/>
    <w:rsid w:val="000220AC"/>
    <w:rsid w:val="000228A0"/>
    <w:rsid w:val="00022B96"/>
    <w:rsid w:val="00023D36"/>
    <w:rsid w:val="000248A9"/>
    <w:rsid w:val="00025190"/>
    <w:rsid w:val="00026D3C"/>
    <w:rsid w:val="00026D82"/>
    <w:rsid w:val="00027C69"/>
    <w:rsid w:val="00030748"/>
    <w:rsid w:val="00031366"/>
    <w:rsid w:val="00031D92"/>
    <w:rsid w:val="00032BEA"/>
    <w:rsid w:val="00032F22"/>
    <w:rsid w:val="00033085"/>
    <w:rsid w:val="00035E5E"/>
    <w:rsid w:val="000407B6"/>
    <w:rsid w:val="00040D00"/>
    <w:rsid w:val="00041AEE"/>
    <w:rsid w:val="00041B98"/>
    <w:rsid w:val="00041E59"/>
    <w:rsid w:val="0004270A"/>
    <w:rsid w:val="00042F8E"/>
    <w:rsid w:val="0004309F"/>
    <w:rsid w:val="00044221"/>
    <w:rsid w:val="000456A3"/>
    <w:rsid w:val="00046DFE"/>
    <w:rsid w:val="00047058"/>
    <w:rsid w:val="000476C3"/>
    <w:rsid w:val="00047A46"/>
    <w:rsid w:val="00047BC3"/>
    <w:rsid w:val="00050CEA"/>
    <w:rsid w:val="00050E4E"/>
    <w:rsid w:val="0005110D"/>
    <w:rsid w:val="00052259"/>
    <w:rsid w:val="000522BE"/>
    <w:rsid w:val="00053198"/>
    <w:rsid w:val="000535AC"/>
    <w:rsid w:val="0005409D"/>
    <w:rsid w:val="00055048"/>
    <w:rsid w:val="000552B0"/>
    <w:rsid w:val="00055C10"/>
    <w:rsid w:val="000562BA"/>
    <w:rsid w:val="00056339"/>
    <w:rsid w:val="0005672A"/>
    <w:rsid w:val="00056BE6"/>
    <w:rsid w:val="0005773E"/>
    <w:rsid w:val="00060994"/>
    <w:rsid w:val="00060D0A"/>
    <w:rsid w:val="00061869"/>
    <w:rsid w:val="000621DD"/>
    <w:rsid w:val="000622FA"/>
    <w:rsid w:val="000625BF"/>
    <w:rsid w:val="00062B70"/>
    <w:rsid w:val="00064430"/>
    <w:rsid w:val="000649B3"/>
    <w:rsid w:val="00064E2B"/>
    <w:rsid w:val="000656D4"/>
    <w:rsid w:val="00066BCE"/>
    <w:rsid w:val="00066C8F"/>
    <w:rsid w:val="00070991"/>
    <w:rsid w:val="0007160F"/>
    <w:rsid w:val="000718C2"/>
    <w:rsid w:val="00073C22"/>
    <w:rsid w:val="00074803"/>
    <w:rsid w:val="00074812"/>
    <w:rsid w:val="00074BCB"/>
    <w:rsid w:val="00076640"/>
    <w:rsid w:val="00076828"/>
    <w:rsid w:val="00076C76"/>
    <w:rsid w:val="000775E4"/>
    <w:rsid w:val="00077EC9"/>
    <w:rsid w:val="00080A8B"/>
    <w:rsid w:val="000811F0"/>
    <w:rsid w:val="000818C4"/>
    <w:rsid w:val="00082861"/>
    <w:rsid w:val="00082C5F"/>
    <w:rsid w:val="000834D8"/>
    <w:rsid w:val="00083A07"/>
    <w:rsid w:val="00083D44"/>
    <w:rsid w:val="00084A9D"/>
    <w:rsid w:val="00084F4B"/>
    <w:rsid w:val="00085264"/>
    <w:rsid w:val="00087160"/>
    <w:rsid w:val="00090EFB"/>
    <w:rsid w:val="00092725"/>
    <w:rsid w:val="000928FC"/>
    <w:rsid w:val="00092B1D"/>
    <w:rsid w:val="000951C2"/>
    <w:rsid w:val="0009528B"/>
    <w:rsid w:val="000952C9"/>
    <w:rsid w:val="0009629F"/>
    <w:rsid w:val="000968C2"/>
    <w:rsid w:val="00096DD2"/>
    <w:rsid w:val="00096EB1"/>
    <w:rsid w:val="0009747E"/>
    <w:rsid w:val="0009771D"/>
    <w:rsid w:val="000A05A8"/>
    <w:rsid w:val="000A0B45"/>
    <w:rsid w:val="000A1654"/>
    <w:rsid w:val="000A18CE"/>
    <w:rsid w:val="000A1FD3"/>
    <w:rsid w:val="000A268C"/>
    <w:rsid w:val="000A3B00"/>
    <w:rsid w:val="000A3C83"/>
    <w:rsid w:val="000A3DEC"/>
    <w:rsid w:val="000A5114"/>
    <w:rsid w:val="000A5801"/>
    <w:rsid w:val="000A58B0"/>
    <w:rsid w:val="000A644F"/>
    <w:rsid w:val="000A65B2"/>
    <w:rsid w:val="000B0331"/>
    <w:rsid w:val="000B036F"/>
    <w:rsid w:val="000B07BE"/>
    <w:rsid w:val="000B1136"/>
    <w:rsid w:val="000B1335"/>
    <w:rsid w:val="000B1539"/>
    <w:rsid w:val="000B1C2A"/>
    <w:rsid w:val="000B285C"/>
    <w:rsid w:val="000B2CA3"/>
    <w:rsid w:val="000B3CF7"/>
    <w:rsid w:val="000B4AA6"/>
    <w:rsid w:val="000B54EE"/>
    <w:rsid w:val="000B6D02"/>
    <w:rsid w:val="000B7616"/>
    <w:rsid w:val="000C0594"/>
    <w:rsid w:val="000C06AA"/>
    <w:rsid w:val="000C099B"/>
    <w:rsid w:val="000C0BF1"/>
    <w:rsid w:val="000C134F"/>
    <w:rsid w:val="000C2472"/>
    <w:rsid w:val="000C3081"/>
    <w:rsid w:val="000C3B78"/>
    <w:rsid w:val="000C3FB6"/>
    <w:rsid w:val="000C44A1"/>
    <w:rsid w:val="000C4B1E"/>
    <w:rsid w:val="000C4D36"/>
    <w:rsid w:val="000C5086"/>
    <w:rsid w:val="000C5868"/>
    <w:rsid w:val="000C5F2A"/>
    <w:rsid w:val="000C5FBB"/>
    <w:rsid w:val="000C6B91"/>
    <w:rsid w:val="000C7036"/>
    <w:rsid w:val="000C7591"/>
    <w:rsid w:val="000D06AF"/>
    <w:rsid w:val="000D08E7"/>
    <w:rsid w:val="000D0CD0"/>
    <w:rsid w:val="000D2161"/>
    <w:rsid w:val="000D30A7"/>
    <w:rsid w:val="000D31D0"/>
    <w:rsid w:val="000D3351"/>
    <w:rsid w:val="000D3A82"/>
    <w:rsid w:val="000D44C6"/>
    <w:rsid w:val="000D46D4"/>
    <w:rsid w:val="000D4A3A"/>
    <w:rsid w:val="000D6AD1"/>
    <w:rsid w:val="000D6AE0"/>
    <w:rsid w:val="000D72C0"/>
    <w:rsid w:val="000D7350"/>
    <w:rsid w:val="000D7E78"/>
    <w:rsid w:val="000E0F70"/>
    <w:rsid w:val="000E1B3C"/>
    <w:rsid w:val="000E1C54"/>
    <w:rsid w:val="000E2275"/>
    <w:rsid w:val="000E2D9A"/>
    <w:rsid w:val="000E4038"/>
    <w:rsid w:val="000E564A"/>
    <w:rsid w:val="000E5A08"/>
    <w:rsid w:val="000E6982"/>
    <w:rsid w:val="000E6D73"/>
    <w:rsid w:val="000E6E40"/>
    <w:rsid w:val="000E703B"/>
    <w:rsid w:val="000E7D43"/>
    <w:rsid w:val="000F0BB6"/>
    <w:rsid w:val="000F2584"/>
    <w:rsid w:val="000F2987"/>
    <w:rsid w:val="000F2EDB"/>
    <w:rsid w:val="000F2FFD"/>
    <w:rsid w:val="000F3767"/>
    <w:rsid w:val="000F46D9"/>
    <w:rsid w:val="000F4A3B"/>
    <w:rsid w:val="000F4F12"/>
    <w:rsid w:val="000F557E"/>
    <w:rsid w:val="000F5A6E"/>
    <w:rsid w:val="000F6478"/>
    <w:rsid w:val="000F6614"/>
    <w:rsid w:val="000F6B5C"/>
    <w:rsid w:val="00100699"/>
    <w:rsid w:val="001007B0"/>
    <w:rsid w:val="001007D0"/>
    <w:rsid w:val="00102A42"/>
    <w:rsid w:val="00103390"/>
    <w:rsid w:val="00103874"/>
    <w:rsid w:val="001047A1"/>
    <w:rsid w:val="001050CA"/>
    <w:rsid w:val="00105A7E"/>
    <w:rsid w:val="0010617A"/>
    <w:rsid w:val="00106496"/>
    <w:rsid w:val="001064FA"/>
    <w:rsid w:val="00106899"/>
    <w:rsid w:val="00107968"/>
    <w:rsid w:val="00107A7D"/>
    <w:rsid w:val="00110CAF"/>
    <w:rsid w:val="001115B2"/>
    <w:rsid w:val="0011169C"/>
    <w:rsid w:val="00112740"/>
    <w:rsid w:val="00112872"/>
    <w:rsid w:val="00112A2C"/>
    <w:rsid w:val="00112F82"/>
    <w:rsid w:val="0011397C"/>
    <w:rsid w:val="00113B68"/>
    <w:rsid w:val="001143AF"/>
    <w:rsid w:val="0011458C"/>
    <w:rsid w:val="00114590"/>
    <w:rsid w:val="0011522C"/>
    <w:rsid w:val="0011522D"/>
    <w:rsid w:val="001156B5"/>
    <w:rsid w:val="00115807"/>
    <w:rsid w:val="00115D33"/>
    <w:rsid w:val="001167A3"/>
    <w:rsid w:val="00117374"/>
    <w:rsid w:val="001178AB"/>
    <w:rsid w:val="001218A5"/>
    <w:rsid w:val="00122076"/>
    <w:rsid w:val="00124D45"/>
    <w:rsid w:val="001250F6"/>
    <w:rsid w:val="00126293"/>
    <w:rsid w:val="00127145"/>
    <w:rsid w:val="00127A74"/>
    <w:rsid w:val="00127C46"/>
    <w:rsid w:val="0013051B"/>
    <w:rsid w:val="001317B4"/>
    <w:rsid w:val="00131AA9"/>
    <w:rsid w:val="00131F6D"/>
    <w:rsid w:val="00134912"/>
    <w:rsid w:val="001363F6"/>
    <w:rsid w:val="00136868"/>
    <w:rsid w:val="00136E62"/>
    <w:rsid w:val="0013734B"/>
    <w:rsid w:val="0014008D"/>
    <w:rsid w:val="001404B9"/>
    <w:rsid w:val="001409FD"/>
    <w:rsid w:val="00141153"/>
    <w:rsid w:val="00141F95"/>
    <w:rsid w:val="00143A35"/>
    <w:rsid w:val="00144702"/>
    <w:rsid w:val="0014496A"/>
    <w:rsid w:val="00144C80"/>
    <w:rsid w:val="001451F2"/>
    <w:rsid w:val="00146004"/>
    <w:rsid w:val="00146310"/>
    <w:rsid w:val="0014632A"/>
    <w:rsid w:val="00146385"/>
    <w:rsid w:val="001464DE"/>
    <w:rsid w:val="0014670C"/>
    <w:rsid w:val="00146A76"/>
    <w:rsid w:val="00146D44"/>
    <w:rsid w:val="00146DA7"/>
    <w:rsid w:val="001473EC"/>
    <w:rsid w:val="001477AD"/>
    <w:rsid w:val="00147B0C"/>
    <w:rsid w:val="00147C05"/>
    <w:rsid w:val="00147F24"/>
    <w:rsid w:val="001504D3"/>
    <w:rsid w:val="001507B5"/>
    <w:rsid w:val="00150E46"/>
    <w:rsid w:val="00151144"/>
    <w:rsid w:val="00151B60"/>
    <w:rsid w:val="00151CDB"/>
    <w:rsid w:val="00151D32"/>
    <w:rsid w:val="001520F8"/>
    <w:rsid w:val="001528C4"/>
    <w:rsid w:val="001537F3"/>
    <w:rsid w:val="0015388B"/>
    <w:rsid w:val="00154393"/>
    <w:rsid w:val="00154F38"/>
    <w:rsid w:val="00155A3B"/>
    <w:rsid w:val="00155BFE"/>
    <w:rsid w:val="00156A09"/>
    <w:rsid w:val="00157677"/>
    <w:rsid w:val="0016172C"/>
    <w:rsid w:val="00161D3E"/>
    <w:rsid w:val="00161D4A"/>
    <w:rsid w:val="00161ED9"/>
    <w:rsid w:val="00162566"/>
    <w:rsid w:val="001634B9"/>
    <w:rsid w:val="0016353B"/>
    <w:rsid w:val="00165A5E"/>
    <w:rsid w:val="0016646E"/>
    <w:rsid w:val="001672A4"/>
    <w:rsid w:val="00171049"/>
    <w:rsid w:val="00171CFF"/>
    <w:rsid w:val="0017292B"/>
    <w:rsid w:val="00172F9D"/>
    <w:rsid w:val="00173BA5"/>
    <w:rsid w:val="00174708"/>
    <w:rsid w:val="00174E7C"/>
    <w:rsid w:val="00175056"/>
    <w:rsid w:val="00175777"/>
    <w:rsid w:val="00175989"/>
    <w:rsid w:val="00175B0C"/>
    <w:rsid w:val="001765E4"/>
    <w:rsid w:val="00177D59"/>
    <w:rsid w:val="00180030"/>
    <w:rsid w:val="0018109D"/>
    <w:rsid w:val="00181527"/>
    <w:rsid w:val="00181A88"/>
    <w:rsid w:val="00182474"/>
    <w:rsid w:val="00182954"/>
    <w:rsid w:val="00182DEB"/>
    <w:rsid w:val="00184391"/>
    <w:rsid w:val="00185185"/>
    <w:rsid w:val="001851CC"/>
    <w:rsid w:val="001859AB"/>
    <w:rsid w:val="00186B36"/>
    <w:rsid w:val="00190437"/>
    <w:rsid w:val="00190674"/>
    <w:rsid w:val="00190C1B"/>
    <w:rsid w:val="0019194A"/>
    <w:rsid w:val="00192A3C"/>
    <w:rsid w:val="00192BB5"/>
    <w:rsid w:val="00193658"/>
    <w:rsid w:val="001945F0"/>
    <w:rsid w:val="0019511A"/>
    <w:rsid w:val="001962A6"/>
    <w:rsid w:val="00196955"/>
    <w:rsid w:val="0019713B"/>
    <w:rsid w:val="00197CD7"/>
    <w:rsid w:val="001A0CBB"/>
    <w:rsid w:val="001A1097"/>
    <w:rsid w:val="001A22FC"/>
    <w:rsid w:val="001A314A"/>
    <w:rsid w:val="001A4EC0"/>
    <w:rsid w:val="001A6188"/>
    <w:rsid w:val="001A7E79"/>
    <w:rsid w:val="001B0AC7"/>
    <w:rsid w:val="001B0E1C"/>
    <w:rsid w:val="001B0FF5"/>
    <w:rsid w:val="001B13BA"/>
    <w:rsid w:val="001B13EA"/>
    <w:rsid w:val="001B1AA7"/>
    <w:rsid w:val="001B1E98"/>
    <w:rsid w:val="001B2D5A"/>
    <w:rsid w:val="001B2DA8"/>
    <w:rsid w:val="001B2F0E"/>
    <w:rsid w:val="001B32B1"/>
    <w:rsid w:val="001B44C7"/>
    <w:rsid w:val="001B454D"/>
    <w:rsid w:val="001B4733"/>
    <w:rsid w:val="001B691D"/>
    <w:rsid w:val="001B6C04"/>
    <w:rsid w:val="001B6DAE"/>
    <w:rsid w:val="001B7D72"/>
    <w:rsid w:val="001C17F7"/>
    <w:rsid w:val="001C1F26"/>
    <w:rsid w:val="001C2022"/>
    <w:rsid w:val="001C206A"/>
    <w:rsid w:val="001C2D8A"/>
    <w:rsid w:val="001C2E96"/>
    <w:rsid w:val="001C426B"/>
    <w:rsid w:val="001C4297"/>
    <w:rsid w:val="001C5238"/>
    <w:rsid w:val="001C537D"/>
    <w:rsid w:val="001C55A5"/>
    <w:rsid w:val="001C5F47"/>
    <w:rsid w:val="001C5FBD"/>
    <w:rsid w:val="001C60E2"/>
    <w:rsid w:val="001C7969"/>
    <w:rsid w:val="001D0499"/>
    <w:rsid w:val="001D0E89"/>
    <w:rsid w:val="001D1A4C"/>
    <w:rsid w:val="001D1EE4"/>
    <w:rsid w:val="001D29C1"/>
    <w:rsid w:val="001D2FC8"/>
    <w:rsid w:val="001D3E55"/>
    <w:rsid w:val="001D417E"/>
    <w:rsid w:val="001D47F0"/>
    <w:rsid w:val="001D4BDC"/>
    <w:rsid w:val="001D5527"/>
    <w:rsid w:val="001D5802"/>
    <w:rsid w:val="001D736D"/>
    <w:rsid w:val="001D7AB0"/>
    <w:rsid w:val="001E0AE9"/>
    <w:rsid w:val="001E0C16"/>
    <w:rsid w:val="001E164C"/>
    <w:rsid w:val="001E17A3"/>
    <w:rsid w:val="001E1DA7"/>
    <w:rsid w:val="001E1DDB"/>
    <w:rsid w:val="001E2157"/>
    <w:rsid w:val="001E243B"/>
    <w:rsid w:val="001E25B3"/>
    <w:rsid w:val="001E3726"/>
    <w:rsid w:val="001E3D96"/>
    <w:rsid w:val="001E3FE9"/>
    <w:rsid w:val="001E4953"/>
    <w:rsid w:val="001E512C"/>
    <w:rsid w:val="001E5626"/>
    <w:rsid w:val="001E5779"/>
    <w:rsid w:val="001E5A34"/>
    <w:rsid w:val="001E5BC8"/>
    <w:rsid w:val="001E6017"/>
    <w:rsid w:val="001E65E7"/>
    <w:rsid w:val="001E777F"/>
    <w:rsid w:val="001F1D7B"/>
    <w:rsid w:val="001F1FC0"/>
    <w:rsid w:val="001F2646"/>
    <w:rsid w:val="001F315B"/>
    <w:rsid w:val="001F48CC"/>
    <w:rsid w:val="001F4D89"/>
    <w:rsid w:val="001F58AD"/>
    <w:rsid w:val="001F5F3B"/>
    <w:rsid w:val="001F6467"/>
    <w:rsid w:val="001F6B58"/>
    <w:rsid w:val="001F6D2B"/>
    <w:rsid w:val="001F7060"/>
    <w:rsid w:val="001F72D1"/>
    <w:rsid w:val="001F7626"/>
    <w:rsid w:val="001F7DD6"/>
    <w:rsid w:val="00200B81"/>
    <w:rsid w:val="00200EA5"/>
    <w:rsid w:val="002010C4"/>
    <w:rsid w:val="00201947"/>
    <w:rsid w:val="0020287E"/>
    <w:rsid w:val="002034B6"/>
    <w:rsid w:val="00204712"/>
    <w:rsid w:val="0020477A"/>
    <w:rsid w:val="00205512"/>
    <w:rsid w:val="00207678"/>
    <w:rsid w:val="00207A7B"/>
    <w:rsid w:val="00207C29"/>
    <w:rsid w:val="00207C88"/>
    <w:rsid w:val="00207F55"/>
    <w:rsid w:val="00207F91"/>
    <w:rsid w:val="00207FDB"/>
    <w:rsid w:val="002102FE"/>
    <w:rsid w:val="00212829"/>
    <w:rsid w:val="00212993"/>
    <w:rsid w:val="00212F0D"/>
    <w:rsid w:val="002134E2"/>
    <w:rsid w:val="00213ACB"/>
    <w:rsid w:val="00213C4C"/>
    <w:rsid w:val="00214ABB"/>
    <w:rsid w:val="00215059"/>
    <w:rsid w:val="002154C7"/>
    <w:rsid w:val="00215C96"/>
    <w:rsid w:val="00216E29"/>
    <w:rsid w:val="00220484"/>
    <w:rsid w:val="00220491"/>
    <w:rsid w:val="00220AA9"/>
    <w:rsid w:val="00220DAA"/>
    <w:rsid w:val="0022122A"/>
    <w:rsid w:val="00222371"/>
    <w:rsid w:val="002226EC"/>
    <w:rsid w:val="00223217"/>
    <w:rsid w:val="00223434"/>
    <w:rsid w:val="002238A1"/>
    <w:rsid w:val="00223EA8"/>
    <w:rsid w:val="00224BAC"/>
    <w:rsid w:val="002265D8"/>
    <w:rsid w:val="00226664"/>
    <w:rsid w:val="00227218"/>
    <w:rsid w:val="002307B3"/>
    <w:rsid w:val="00230B2F"/>
    <w:rsid w:val="00230BE2"/>
    <w:rsid w:val="0023308F"/>
    <w:rsid w:val="0023463D"/>
    <w:rsid w:val="00234F1F"/>
    <w:rsid w:val="00235D93"/>
    <w:rsid w:val="002362BA"/>
    <w:rsid w:val="002370D2"/>
    <w:rsid w:val="00237167"/>
    <w:rsid w:val="00240D55"/>
    <w:rsid w:val="00241C1B"/>
    <w:rsid w:val="002425FC"/>
    <w:rsid w:val="00242E25"/>
    <w:rsid w:val="0024301D"/>
    <w:rsid w:val="00243CBC"/>
    <w:rsid w:val="00243CD2"/>
    <w:rsid w:val="00243F45"/>
    <w:rsid w:val="00244716"/>
    <w:rsid w:val="00245877"/>
    <w:rsid w:val="002459EC"/>
    <w:rsid w:val="002461E7"/>
    <w:rsid w:val="002465CF"/>
    <w:rsid w:val="00246D84"/>
    <w:rsid w:val="002472BE"/>
    <w:rsid w:val="002476AB"/>
    <w:rsid w:val="00247DE4"/>
    <w:rsid w:val="002502B1"/>
    <w:rsid w:val="00250838"/>
    <w:rsid w:val="0025099A"/>
    <w:rsid w:val="00250F7F"/>
    <w:rsid w:val="00251750"/>
    <w:rsid w:val="00254186"/>
    <w:rsid w:val="00254364"/>
    <w:rsid w:val="002544AF"/>
    <w:rsid w:val="002549E6"/>
    <w:rsid w:val="00255C58"/>
    <w:rsid w:val="0025727E"/>
    <w:rsid w:val="002572E0"/>
    <w:rsid w:val="0025737E"/>
    <w:rsid w:val="00257CBA"/>
    <w:rsid w:val="00257DD1"/>
    <w:rsid w:val="00260FF0"/>
    <w:rsid w:val="00261C77"/>
    <w:rsid w:val="00261D1E"/>
    <w:rsid w:val="00262489"/>
    <w:rsid w:val="00262856"/>
    <w:rsid w:val="00263518"/>
    <w:rsid w:val="0026415C"/>
    <w:rsid w:val="0026467E"/>
    <w:rsid w:val="00264794"/>
    <w:rsid w:val="00264CBD"/>
    <w:rsid w:val="002713C8"/>
    <w:rsid w:val="0027253E"/>
    <w:rsid w:val="002725E9"/>
    <w:rsid w:val="00272DBE"/>
    <w:rsid w:val="00272DCF"/>
    <w:rsid w:val="00272E3C"/>
    <w:rsid w:val="00273993"/>
    <w:rsid w:val="00273C59"/>
    <w:rsid w:val="00274566"/>
    <w:rsid w:val="002751C1"/>
    <w:rsid w:val="00275E21"/>
    <w:rsid w:val="00280508"/>
    <w:rsid w:val="002807C1"/>
    <w:rsid w:val="002808B8"/>
    <w:rsid w:val="00280E68"/>
    <w:rsid w:val="0028212E"/>
    <w:rsid w:val="00282AC1"/>
    <w:rsid w:val="002845C6"/>
    <w:rsid w:val="002848E2"/>
    <w:rsid w:val="00284BBE"/>
    <w:rsid w:val="00285E8E"/>
    <w:rsid w:val="00286A19"/>
    <w:rsid w:val="00286DAE"/>
    <w:rsid w:val="00290315"/>
    <w:rsid w:val="00290EC3"/>
    <w:rsid w:val="00291280"/>
    <w:rsid w:val="002916C5"/>
    <w:rsid w:val="00292399"/>
    <w:rsid w:val="00292768"/>
    <w:rsid w:val="00292D93"/>
    <w:rsid w:val="00292E5E"/>
    <w:rsid w:val="00293920"/>
    <w:rsid w:val="0029433A"/>
    <w:rsid w:val="00295A25"/>
    <w:rsid w:val="00295AA2"/>
    <w:rsid w:val="00295AF8"/>
    <w:rsid w:val="0029697E"/>
    <w:rsid w:val="00297B89"/>
    <w:rsid w:val="002A00AC"/>
    <w:rsid w:val="002A00FF"/>
    <w:rsid w:val="002A0408"/>
    <w:rsid w:val="002A08FA"/>
    <w:rsid w:val="002A1EB1"/>
    <w:rsid w:val="002A2167"/>
    <w:rsid w:val="002A282D"/>
    <w:rsid w:val="002A3A90"/>
    <w:rsid w:val="002A4047"/>
    <w:rsid w:val="002A4863"/>
    <w:rsid w:val="002A492F"/>
    <w:rsid w:val="002A4972"/>
    <w:rsid w:val="002B0A08"/>
    <w:rsid w:val="002B160A"/>
    <w:rsid w:val="002B21EF"/>
    <w:rsid w:val="002B2C0D"/>
    <w:rsid w:val="002B3F29"/>
    <w:rsid w:val="002B3F8F"/>
    <w:rsid w:val="002B4B1A"/>
    <w:rsid w:val="002B511B"/>
    <w:rsid w:val="002B511F"/>
    <w:rsid w:val="002B5510"/>
    <w:rsid w:val="002B6CB5"/>
    <w:rsid w:val="002B7102"/>
    <w:rsid w:val="002B7B9F"/>
    <w:rsid w:val="002C0597"/>
    <w:rsid w:val="002C0BC2"/>
    <w:rsid w:val="002C0E8A"/>
    <w:rsid w:val="002C18FD"/>
    <w:rsid w:val="002C1D0D"/>
    <w:rsid w:val="002C3C8D"/>
    <w:rsid w:val="002C3D53"/>
    <w:rsid w:val="002C3EA3"/>
    <w:rsid w:val="002C44E3"/>
    <w:rsid w:val="002C5596"/>
    <w:rsid w:val="002C56AF"/>
    <w:rsid w:val="002C57E9"/>
    <w:rsid w:val="002C6B72"/>
    <w:rsid w:val="002C7408"/>
    <w:rsid w:val="002C7B08"/>
    <w:rsid w:val="002C7BFC"/>
    <w:rsid w:val="002D0C7D"/>
    <w:rsid w:val="002D10C6"/>
    <w:rsid w:val="002D1382"/>
    <w:rsid w:val="002D1951"/>
    <w:rsid w:val="002D245A"/>
    <w:rsid w:val="002D2EA8"/>
    <w:rsid w:val="002D2FA5"/>
    <w:rsid w:val="002D3AB7"/>
    <w:rsid w:val="002D4094"/>
    <w:rsid w:val="002D56E0"/>
    <w:rsid w:val="002D5875"/>
    <w:rsid w:val="002D5933"/>
    <w:rsid w:val="002D59D6"/>
    <w:rsid w:val="002D651D"/>
    <w:rsid w:val="002D6C92"/>
    <w:rsid w:val="002D6F46"/>
    <w:rsid w:val="002D730E"/>
    <w:rsid w:val="002E0C51"/>
    <w:rsid w:val="002E228F"/>
    <w:rsid w:val="002E28D1"/>
    <w:rsid w:val="002E2E04"/>
    <w:rsid w:val="002E2FB8"/>
    <w:rsid w:val="002E3E0E"/>
    <w:rsid w:val="002E3F5C"/>
    <w:rsid w:val="002E4CB8"/>
    <w:rsid w:val="002E5454"/>
    <w:rsid w:val="002E568C"/>
    <w:rsid w:val="002F1269"/>
    <w:rsid w:val="002F1E82"/>
    <w:rsid w:val="002F434F"/>
    <w:rsid w:val="002F43B9"/>
    <w:rsid w:val="002F43E0"/>
    <w:rsid w:val="002F58DC"/>
    <w:rsid w:val="002F6E9D"/>
    <w:rsid w:val="002F6EDE"/>
    <w:rsid w:val="002F79AE"/>
    <w:rsid w:val="0030058B"/>
    <w:rsid w:val="00301485"/>
    <w:rsid w:val="0030244D"/>
    <w:rsid w:val="00302AA4"/>
    <w:rsid w:val="00302EF4"/>
    <w:rsid w:val="00303547"/>
    <w:rsid w:val="00303980"/>
    <w:rsid w:val="00303E68"/>
    <w:rsid w:val="00304285"/>
    <w:rsid w:val="00304A8A"/>
    <w:rsid w:val="00305623"/>
    <w:rsid w:val="00306DD1"/>
    <w:rsid w:val="003104E1"/>
    <w:rsid w:val="00310AE8"/>
    <w:rsid w:val="00310C4E"/>
    <w:rsid w:val="00310FE8"/>
    <w:rsid w:val="00311B63"/>
    <w:rsid w:val="003125D7"/>
    <w:rsid w:val="0031361C"/>
    <w:rsid w:val="003137C4"/>
    <w:rsid w:val="00314FEB"/>
    <w:rsid w:val="003151FE"/>
    <w:rsid w:val="003156DA"/>
    <w:rsid w:val="003202D4"/>
    <w:rsid w:val="0032071D"/>
    <w:rsid w:val="00320EF8"/>
    <w:rsid w:val="0032156A"/>
    <w:rsid w:val="00321C31"/>
    <w:rsid w:val="003222FE"/>
    <w:rsid w:val="00322A77"/>
    <w:rsid w:val="00322FA5"/>
    <w:rsid w:val="003238AC"/>
    <w:rsid w:val="00324191"/>
    <w:rsid w:val="00324A1B"/>
    <w:rsid w:val="003257D3"/>
    <w:rsid w:val="00326656"/>
    <w:rsid w:val="0032675B"/>
    <w:rsid w:val="00327575"/>
    <w:rsid w:val="003277F7"/>
    <w:rsid w:val="00330696"/>
    <w:rsid w:val="003312D5"/>
    <w:rsid w:val="0033235F"/>
    <w:rsid w:val="0033280C"/>
    <w:rsid w:val="00332BC1"/>
    <w:rsid w:val="0033348C"/>
    <w:rsid w:val="003336E2"/>
    <w:rsid w:val="00334536"/>
    <w:rsid w:val="003362B7"/>
    <w:rsid w:val="0033794B"/>
    <w:rsid w:val="00340B2B"/>
    <w:rsid w:val="00340E14"/>
    <w:rsid w:val="00341528"/>
    <w:rsid w:val="0034168D"/>
    <w:rsid w:val="00341E3B"/>
    <w:rsid w:val="0034287C"/>
    <w:rsid w:val="00342D08"/>
    <w:rsid w:val="003434C2"/>
    <w:rsid w:val="003434D3"/>
    <w:rsid w:val="00344535"/>
    <w:rsid w:val="00345157"/>
    <w:rsid w:val="00346565"/>
    <w:rsid w:val="00346B30"/>
    <w:rsid w:val="003474AF"/>
    <w:rsid w:val="00347762"/>
    <w:rsid w:val="00347BB4"/>
    <w:rsid w:val="00350091"/>
    <w:rsid w:val="003508F0"/>
    <w:rsid w:val="00351A4E"/>
    <w:rsid w:val="00351AA4"/>
    <w:rsid w:val="00352799"/>
    <w:rsid w:val="0035309D"/>
    <w:rsid w:val="003534F0"/>
    <w:rsid w:val="00354163"/>
    <w:rsid w:val="00354734"/>
    <w:rsid w:val="00354A92"/>
    <w:rsid w:val="00356121"/>
    <w:rsid w:val="003561C6"/>
    <w:rsid w:val="0035621C"/>
    <w:rsid w:val="0035629F"/>
    <w:rsid w:val="0035647C"/>
    <w:rsid w:val="00356547"/>
    <w:rsid w:val="00360884"/>
    <w:rsid w:val="00362586"/>
    <w:rsid w:val="00363D90"/>
    <w:rsid w:val="00364106"/>
    <w:rsid w:val="003649A7"/>
    <w:rsid w:val="003649AF"/>
    <w:rsid w:val="00364F1F"/>
    <w:rsid w:val="00365135"/>
    <w:rsid w:val="00365D2F"/>
    <w:rsid w:val="00366AD1"/>
    <w:rsid w:val="0036727A"/>
    <w:rsid w:val="003672A4"/>
    <w:rsid w:val="00370B5C"/>
    <w:rsid w:val="003713E1"/>
    <w:rsid w:val="00372001"/>
    <w:rsid w:val="003725B7"/>
    <w:rsid w:val="00372B67"/>
    <w:rsid w:val="00372F59"/>
    <w:rsid w:val="003750F6"/>
    <w:rsid w:val="00375287"/>
    <w:rsid w:val="003755DC"/>
    <w:rsid w:val="003756FA"/>
    <w:rsid w:val="00375974"/>
    <w:rsid w:val="003759E6"/>
    <w:rsid w:val="00376399"/>
    <w:rsid w:val="00376C80"/>
    <w:rsid w:val="003775BC"/>
    <w:rsid w:val="00377A85"/>
    <w:rsid w:val="003803BE"/>
    <w:rsid w:val="00380C49"/>
    <w:rsid w:val="0038160C"/>
    <w:rsid w:val="00381D2D"/>
    <w:rsid w:val="0038202B"/>
    <w:rsid w:val="00382432"/>
    <w:rsid w:val="003824EB"/>
    <w:rsid w:val="0038351B"/>
    <w:rsid w:val="003835D4"/>
    <w:rsid w:val="00383A04"/>
    <w:rsid w:val="003845BA"/>
    <w:rsid w:val="0038467F"/>
    <w:rsid w:val="0038498E"/>
    <w:rsid w:val="00384B6B"/>
    <w:rsid w:val="003855E0"/>
    <w:rsid w:val="0038588A"/>
    <w:rsid w:val="00385B5B"/>
    <w:rsid w:val="00385EF9"/>
    <w:rsid w:val="00386626"/>
    <w:rsid w:val="0038717F"/>
    <w:rsid w:val="003879A3"/>
    <w:rsid w:val="00390613"/>
    <w:rsid w:val="00390750"/>
    <w:rsid w:val="00390757"/>
    <w:rsid w:val="003908EE"/>
    <w:rsid w:val="00390E49"/>
    <w:rsid w:val="003916E4"/>
    <w:rsid w:val="00391F56"/>
    <w:rsid w:val="003921FF"/>
    <w:rsid w:val="0039243E"/>
    <w:rsid w:val="003930BE"/>
    <w:rsid w:val="00393DA9"/>
    <w:rsid w:val="00393F2F"/>
    <w:rsid w:val="0039479C"/>
    <w:rsid w:val="003951AB"/>
    <w:rsid w:val="0039570F"/>
    <w:rsid w:val="00396A24"/>
    <w:rsid w:val="00396C80"/>
    <w:rsid w:val="0039703D"/>
    <w:rsid w:val="0039712C"/>
    <w:rsid w:val="00397154"/>
    <w:rsid w:val="00397331"/>
    <w:rsid w:val="003A03AC"/>
    <w:rsid w:val="003A0889"/>
    <w:rsid w:val="003A0AC7"/>
    <w:rsid w:val="003A0B34"/>
    <w:rsid w:val="003A0D67"/>
    <w:rsid w:val="003A1911"/>
    <w:rsid w:val="003A1D72"/>
    <w:rsid w:val="003A2274"/>
    <w:rsid w:val="003A3252"/>
    <w:rsid w:val="003A33E8"/>
    <w:rsid w:val="003A35CD"/>
    <w:rsid w:val="003A3769"/>
    <w:rsid w:val="003A581D"/>
    <w:rsid w:val="003A5F0A"/>
    <w:rsid w:val="003A64E7"/>
    <w:rsid w:val="003A7677"/>
    <w:rsid w:val="003A7F0C"/>
    <w:rsid w:val="003B0943"/>
    <w:rsid w:val="003B149E"/>
    <w:rsid w:val="003B23A6"/>
    <w:rsid w:val="003B5A66"/>
    <w:rsid w:val="003B6497"/>
    <w:rsid w:val="003B757B"/>
    <w:rsid w:val="003C0184"/>
    <w:rsid w:val="003C0B19"/>
    <w:rsid w:val="003C174C"/>
    <w:rsid w:val="003C1CE7"/>
    <w:rsid w:val="003C28E6"/>
    <w:rsid w:val="003C2CE8"/>
    <w:rsid w:val="003C3489"/>
    <w:rsid w:val="003C44CC"/>
    <w:rsid w:val="003C454C"/>
    <w:rsid w:val="003C4753"/>
    <w:rsid w:val="003C4BD2"/>
    <w:rsid w:val="003C4DAC"/>
    <w:rsid w:val="003C565C"/>
    <w:rsid w:val="003C61BB"/>
    <w:rsid w:val="003C65DB"/>
    <w:rsid w:val="003C6E20"/>
    <w:rsid w:val="003C71FD"/>
    <w:rsid w:val="003C7A51"/>
    <w:rsid w:val="003C7CEE"/>
    <w:rsid w:val="003C7E2B"/>
    <w:rsid w:val="003C7F6C"/>
    <w:rsid w:val="003D043D"/>
    <w:rsid w:val="003D1948"/>
    <w:rsid w:val="003D210E"/>
    <w:rsid w:val="003D2706"/>
    <w:rsid w:val="003D3472"/>
    <w:rsid w:val="003D3790"/>
    <w:rsid w:val="003D5073"/>
    <w:rsid w:val="003D5589"/>
    <w:rsid w:val="003D58A1"/>
    <w:rsid w:val="003D6FD7"/>
    <w:rsid w:val="003D72EF"/>
    <w:rsid w:val="003E06E3"/>
    <w:rsid w:val="003E10E7"/>
    <w:rsid w:val="003E1B4D"/>
    <w:rsid w:val="003E310B"/>
    <w:rsid w:val="003E33AB"/>
    <w:rsid w:val="003E4462"/>
    <w:rsid w:val="003E6762"/>
    <w:rsid w:val="003E70CF"/>
    <w:rsid w:val="003E7472"/>
    <w:rsid w:val="003E77C1"/>
    <w:rsid w:val="003F0361"/>
    <w:rsid w:val="003F0B0D"/>
    <w:rsid w:val="003F109D"/>
    <w:rsid w:val="003F1E1E"/>
    <w:rsid w:val="003F1FA4"/>
    <w:rsid w:val="003F2125"/>
    <w:rsid w:val="003F2141"/>
    <w:rsid w:val="003F21D2"/>
    <w:rsid w:val="003F41FE"/>
    <w:rsid w:val="003F43D8"/>
    <w:rsid w:val="003F5033"/>
    <w:rsid w:val="003F5835"/>
    <w:rsid w:val="003F5CEC"/>
    <w:rsid w:val="003F5EAE"/>
    <w:rsid w:val="003F6BBF"/>
    <w:rsid w:val="00402BAD"/>
    <w:rsid w:val="00403319"/>
    <w:rsid w:val="004038A2"/>
    <w:rsid w:val="00404FC3"/>
    <w:rsid w:val="00405866"/>
    <w:rsid w:val="004059CB"/>
    <w:rsid w:val="00405B78"/>
    <w:rsid w:val="00406140"/>
    <w:rsid w:val="004063E4"/>
    <w:rsid w:val="004063FF"/>
    <w:rsid w:val="00407B3A"/>
    <w:rsid w:val="00411087"/>
    <w:rsid w:val="0041157E"/>
    <w:rsid w:val="004115AB"/>
    <w:rsid w:val="00411C96"/>
    <w:rsid w:val="00411CB1"/>
    <w:rsid w:val="00412368"/>
    <w:rsid w:val="004127EE"/>
    <w:rsid w:val="004132AD"/>
    <w:rsid w:val="00413552"/>
    <w:rsid w:val="00414403"/>
    <w:rsid w:val="004155F2"/>
    <w:rsid w:val="004159E1"/>
    <w:rsid w:val="0041620E"/>
    <w:rsid w:val="004170C7"/>
    <w:rsid w:val="004175BE"/>
    <w:rsid w:val="00417C9A"/>
    <w:rsid w:val="00420EE7"/>
    <w:rsid w:val="0042128B"/>
    <w:rsid w:val="00421D24"/>
    <w:rsid w:val="00421DB0"/>
    <w:rsid w:val="00422070"/>
    <w:rsid w:val="00422807"/>
    <w:rsid w:val="00422AD4"/>
    <w:rsid w:val="00423699"/>
    <w:rsid w:val="00423E37"/>
    <w:rsid w:val="00424229"/>
    <w:rsid w:val="0042477C"/>
    <w:rsid w:val="0042547D"/>
    <w:rsid w:val="00425626"/>
    <w:rsid w:val="00425B4C"/>
    <w:rsid w:val="00426740"/>
    <w:rsid w:val="004270A1"/>
    <w:rsid w:val="00427226"/>
    <w:rsid w:val="00427315"/>
    <w:rsid w:val="00430298"/>
    <w:rsid w:val="00431371"/>
    <w:rsid w:val="00431B87"/>
    <w:rsid w:val="00431D4C"/>
    <w:rsid w:val="0043267E"/>
    <w:rsid w:val="00432BAD"/>
    <w:rsid w:val="004342FE"/>
    <w:rsid w:val="0043461C"/>
    <w:rsid w:val="00434CE1"/>
    <w:rsid w:val="00435A67"/>
    <w:rsid w:val="00435AF4"/>
    <w:rsid w:val="00435BEF"/>
    <w:rsid w:val="00436A4F"/>
    <w:rsid w:val="00437665"/>
    <w:rsid w:val="0043775D"/>
    <w:rsid w:val="004379E7"/>
    <w:rsid w:val="00437B90"/>
    <w:rsid w:val="00437EAB"/>
    <w:rsid w:val="00441A70"/>
    <w:rsid w:val="004431F8"/>
    <w:rsid w:val="004459DF"/>
    <w:rsid w:val="00446649"/>
    <w:rsid w:val="004467B5"/>
    <w:rsid w:val="00446B21"/>
    <w:rsid w:val="00446CA4"/>
    <w:rsid w:val="00446E63"/>
    <w:rsid w:val="00447151"/>
    <w:rsid w:val="00447F9E"/>
    <w:rsid w:val="00450AEF"/>
    <w:rsid w:val="00450D5C"/>
    <w:rsid w:val="004517D3"/>
    <w:rsid w:val="00451C86"/>
    <w:rsid w:val="00451DEC"/>
    <w:rsid w:val="00451F8F"/>
    <w:rsid w:val="00452572"/>
    <w:rsid w:val="004528C2"/>
    <w:rsid w:val="00453035"/>
    <w:rsid w:val="0045376F"/>
    <w:rsid w:val="00454686"/>
    <w:rsid w:val="00454A89"/>
    <w:rsid w:val="004554C4"/>
    <w:rsid w:val="004560C4"/>
    <w:rsid w:val="00456D40"/>
    <w:rsid w:val="004613F9"/>
    <w:rsid w:val="00461931"/>
    <w:rsid w:val="0046262A"/>
    <w:rsid w:val="00462770"/>
    <w:rsid w:val="004632BD"/>
    <w:rsid w:val="00463DF7"/>
    <w:rsid w:val="004640A5"/>
    <w:rsid w:val="00464116"/>
    <w:rsid w:val="00464EE9"/>
    <w:rsid w:val="004658A9"/>
    <w:rsid w:val="0046617F"/>
    <w:rsid w:val="0046638F"/>
    <w:rsid w:val="00467C7A"/>
    <w:rsid w:val="00467DD1"/>
    <w:rsid w:val="00470297"/>
    <w:rsid w:val="00470B1D"/>
    <w:rsid w:val="0047129D"/>
    <w:rsid w:val="00471A1E"/>
    <w:rsid w:val="004721B8"/>
    <w:rsid w:val="00472D2F"/>
    <w:rsid w:val="00473CB4"/>
    <w:rsid w:val="004745ED"/>
    <w:rsid w:val="004747B5"/>
    <w:rsid w:val="00474EA7"/>
    <w:rsid w:val="004750E1"/>
    <w:rsid w:val="00475240"/>
    <w:rsid w:val="00476357"/>
    <w:rsid w:val="00476E0C"/>
    <w:rsid w:val="00477162"/>
    <w:rsid w:val="004779F9"/>
    <w:rsid w:val="0048027F"/>
    <w:rsid w:val="0048168D"/>
    <w:rsid w:val="00482124"/>
    <w:rsid w:val="004821B3"/>
    <w:rsid w:val="00483183"/>
    <w:rsid w:val="0048322A"/>
    <w:rsid w:val="00484238"/>
    <w:rsid w:val="00484690"/>
    <w:rsid w:val="0048603C"/>
    <w:rsid w:val="00486829"/>
    <w:rsid w:val="0048695F"/>
    <w:rsid w:val="00487A47"/>
    <w:rsid w:val="00490BA2"/>
    <w:rsid w:val="00490F15"/>
    <w:rsid w:val="00491217"/>
    <w:rsid w:val="00491295"/>
    <w:rsid w:val="004931A2"/>
    <w:rsid w:val="004946C8"/>
    <w:rsid w:val="0049488A"/>
    <w:rsid w:val="00496EA3"/>
    <w:rsid w:val="004971EE"/>
    <w:rsid w:val="0049749C"/>
    <w:rsid w:val="00497CC6"/>
    <w:rsid w:val="00497CFD"/>
    <w:rsid w:val="004A0DE6"/>
    <w:rsid w:val="004A1608"/>
    <w:rsid w:val="004A1CB3"/>
    <w:rsid w:val="004A1DAE"/>
    <w:rsid w:val="004A295B"/>
    <w:rsid w:val="004A321C"/>
    <w:rsid w:val="004A3966"/>
    <w:rsid w:val="004A3AF5"/>
    <w:rsid w:val="004A40D9"/>
    <w:rsid w:val="004A4132"/>
    <w:rsid w:val="004A42CB"/>
    <w:rsid w:val="004A50BF"/>
    <w:rsid w:val="004A587E"/>
    <w:rsid w:val="004A58DD"/>
    <w:rsid w:val="004A5AE9"/>
    <w:rsid w:val="004A7DD8"/>
    <w:rsid w:val="004B1A0A"/>
    <w:rsid w:val="004B34D4"/>
    <w:rsid w:val="004B3D47"/>
    <w:rsid w:val="004B5AB3"/>
    <w:rsid w:val="004B5BB2"/>
    <w:rsid w:val="004B5D42"/>
    <w:rsid w:val="004B5FE4"/>
    <w:rsid w:val="004B7CEA"/>
    <w:rsid w:val="004C13DD"/>
    <w:rsid w:val="004C1BB9"/>
    <w:rsid w:val="004C2043"/>
    <w:rsid w:val="004C2F46"/>
    <w:rsid w:val="004C326F"/>
    <w:rsid w:val="004C32A9"/>
    <w:rsid w:val="004C50EC"/>
    <w:rsid w:val="004C5426"/>
    <w:rsid w:val="004C5A5E"/>
    <w:rsid w:val="004C6F53"/>
    <w:rsid w:val="004D0012"/>
    <w:rsid w:val="004D1271"/>
    <w:rsid w:val="004D1365"/>
    <w:rsid w:val="004D1BFF"/>
    <w:rsid w:val="004D2164"/>
    <w:rsid w:val="004D21E6"/>
    <w:rsid w:val="004D2B64"/>
    <w:rsid w:val="004D2CD2"/>
    <w:rsid w:val="004D343F"/>
    <w:rsid w:val="004D3B2C"/>
    <w:rsid w:val="004D3C4F"/>
    <w:rsid w:val="004D3D6F"/>
    <w:rsid w:val="004D4227"/>
    <w:rsid w:val="004D505B"/>
    <w:rsid w:val="004D5AB4"/>
    <w:rsid w:val="004D68E8"/>
    <w:rsid w:val="004D693F"/>
    <w:rsid w:val="004D7413"/>
    <w:rsid w:val="004D7711"/>
    <w:rsid w:val="004E0D5C"/>
    <w:rsid w:val="004E0E1F"/>
    <w:rsid w:val="004E1070"/>
    <w:rsid w:val="004E240A"/>
    <w:rsid w:val="004E2795"/>
    <w:rsid w:val="004E2C54"/>
    <w:rsid w:val="004E3542"/>
    <w:rsid w:val="004E4EF5"/>
    <w:rsid w:val="004E62B0"/>
    <w:rsid w:val="004E78C4"/>
    <w:rsid w:val="004E7A05"/>
    <w:rsid w:val="004F02A0"/>
    <w:rsid w:val="004F0AA8"/>
    <w:rsid w:val="004F0D20"/>
    <w:rsid w:val="004F1158"/>
    <w:rsid w:val="004F1541"/>
    <w:rsid w:val="004F4368"/>
    <w:rsid w:val="004F47FE"/>
    <w:rsid w:val="004F4811"/>
    <w:rsid w:val="004F4F12"/>
    <w:rsid w:val="004F5489"/>
    <w:rsid w:val="004F647A"/>
    <w:rsid w:val="004F6517"/>
    <w:rsid w:val="004F65A0"/>
    <w:rsid w:val="004F674A"/>
    <w:rsid w:val="004F6C2F"/>
    <w:rsid w:val="004F7960"/>
    <w:rsid w:val="005005EA"/>
    <w:rsid w:val="005006EB"/>
    <w:rsid w:val="00500A40"/>
    <w:rsid w:val="00501625"/>
    <w:rsid w:val="0050174B"/>
    <w:rsid w:val="00501870"/>
    <w:rsid w:val="00501B3B"/>
    <w:rsid w:val="00502282"/>
    <w:rsid w:val="00502A60"/>
    <w:rsid w:val="00503617"/>
    <w:rsid w:val="005040B4"/>
    <w:rsid w:val="00505868"/>
    <w:rsid w:val="00505914"/>
    <w:rsid w:val="00505D2A"/>
    <w:rsid w:val="00505DDF"/>
    <w:rsid w:val="00506628"/>
    <w:rsid w:val="00506B01"/>
    <w:rsid w:val="00506E23"/>
    <w:rsid w:val="0050708E"/>
    <w:rsid w:val="00507383"/>
    <w:rsid w:val="00507F53"/>
    <w:rsid w:val="00510101"/>
    <w:rsid w:val="00510864"/>
    <w:rsid w:val="00510A5B"/>
    <w:rsid w:val="00510E72"/>
    <w:rsid w:val="005113E8"/>
    <w:rsid w:val="0051222D"/>
    <w:rsid w:val="005143F5"/>
    <w:rsid w:val="00514813"/>
    <w:rsid w:val="00514A56"/>
    <w:rsid w:val="00514E31"/>
    <w:rsid w:val="00514FF0"/>
    <w:rsid w:val="005150E4"/>
    <w:rsid w:val="00515332"/>
    <w:rsid w:val="00515D89"/>
    <w:rsid w:val="00515FB2"/>
    <w:rsid w:val="005161B7"/>
    <w:rsid w:val="00517C6C"/>
    <w:rsid w:val="005200B8"/>
    <w:rsid w:val="005210DD"/>
    <w:rsid w:val="00521AF2"/>
    <w:rsid w:val="00521C72"/>
    <w:rsid w:val="005226D3"/>
    <w:rsid w:val="00522946"/>
    <w:rsid w:val="00522D86"/>
    <w:rsid w:val="00522E09"/>
    <w:rsid w:val="005232D2"/>
    <w:rsid w:val="00523A1F"/>
    <w:rsid w:val="00524B77"/>
    <w:rsid w:val="00525022"/>
    <w:rsid w:val="0052520E"/>
    <w:rsid w:val="00525325"/>
    <w:rsid w:val="00526418"/>
    <w:rsid w:val="0052650C"/>
    <w:rsid w:val="00526739"/>
    <w:rsid w:val="00527568"/>
    <w:rsid w:val="005277C2"/>
    <w:rsid w:val="005301AA"/>
    <w:rsid w:val="00530BF7"/>
    <w:rsid w:val="00532313"/>
    <w:rsid w:val="0053236D"/>
    <w:rsid w:val="005323AC"/>
    <w:rsid w:val="00532C7D"/>
    <w:rsid w:val="00533C8D"/>
    <w:rsid w:val="00534B64"/>
    <w:rsid w:val="00534E3C"/>
    <w:rsid w:val="00534F34"/>
    <w:rsid w:val="0053519E"/>
    <w:rsid w:val="00536882"/>
    <w:rsid w:val="00536D42"/>
    <w:rsid w:val="00536E93"/>
    <w:rsid w:val="005372B3"/>
    <w:rsid w:val="00537A08"/>
    <w:rsid w:val="00537D56"/>
    <w:rsid w:val="00540291"/>
    <w:rsid w:val="00540E4D"/>
    <w:rsid w:val="005418A0"/>
    <w:rsid w:val="00541BFA"/>
    <w:rsid w:val="00542944"/>
    <w:rsid w:val="00542EE6"/>
    <w:rsid w:val="005432D7"/>
    <w:rsid w:val="00543406"/>
    <w:rsid w:val="00543830"/>
    <w:rsid w:val="00543DEF"/>
    <w:rsid w:val="00543EE6"/>
    <w:rsid w:val="00544548"/>
    <w:rsid w:val="005466A9"/>
    <w:rsid w:val="00550893"/>
    <w:rsid w:val="00550F69"/>
    <w:rsid w:val="00551392"/>
    <w:rsid w:val="005514DA"/>
    <w:rsid w:val="00551A25"/>
    <w:rsid w:val="00552A03"/>
    <w:rsid w:val="0055357B"/>
    <w:rsid w:val="00553B1A"/>
    <w:rsid w:val="00554141"/>
    <w:rsid w:val="00554297"/>
    <w:rsid w:val="005548C1"/>
    <w:rsid w:val="00555546"/>
    <w:rsid w:val="00556472"/>
    <w:rsid w:val="005573F4"/>
    <w:rsid w:val="005576EE"/>
    <w:rsid w:val="0055778B"/>
    <w:rsid w:val="005579DC"/>
    <w:rsid w:val="00560491"/>
    <w:rsid w:val="0056054A"/>
    <w:rsid w:val="005613E0"/>
    <w:rsid w:val="0056160B"/>
    <w:rsid w:val="005620A4"/>
    <w:rsid w:val="00562DD3"/>
    <w:rsid w:val="005640EA"/>
    <w:rsid w:val="00564172"/>
    <w:rsid w:val="005641A6"/>
    <w:rsid w:val="00564F73"/>
    <w:rsid w:val="0056508F"/>
    <w:rsid w:val="00565402"/>
    <w:rsid w:val="0056581C"/>
    <w:rsid w:val="005660F6"/>
    <w:rsid w:val="00566314"/>
    <w:rsid w:val="005714A8"/>
    <w:rsid w:val="005716C1"/>
    <w:rsid w:val="00571FA0"/>
    <w:rsid w:val="00574DF7"/>
    <w:rsid w:val="00575CAD"/>
    <w:rsid w:val="0057629D"/>
    <w:rsid w:val="00577F81"/>
    <w:rsid w:val="00580DBC"/>
    <w:rsid w:val="00581AA7"/>
    <w:rsid w:val="00583327"/>
    <w:rsid w:val="00584240"/>
    <w:rsid w:val="00584A51"/>
    <w:rsid w:val="00584A9F"/>
    <w:rsid w:val="00585824"/>
    <w:rsid w:val="005862D9"/>
    <w:rsid w:val="005862F7"/>
    <w:rsid w:val="00586304"/>
    <w:rsid w:val="005864A7"/>
    <w:rsid w:val="00586B8D"/>
    <w:rsid w:val="00587C36"/>
    <w:rsid w:val="0059024D"/>
    <w:rsid w:val="005904C6"/>
    <w:rsid w:val="00590755"/>
    <w:rsid w:val="00590B0D"/>
    <w:rsid w:val="00591FC5"/>
    <w:rsid w:val="0059279E"/>
    <w:rsid w:val="00593957"/>
    <w:rsid w:val="00594F8B"/>
    <w:rsid w:val="00597F06"/>
    <w:rsid w:val="005A0BB2"/>
    <w:rsid w:val="005A2631"/>
    <w:rsid w:val="005A27D3"/>
    <w:rsid w:val="005A2987"/>
    <w:rsid w:val="005A2C85"/>
    <w:rsid w:val="005A2F26"/>
    <w:rsid w:val="005A50D2"/>
    <w:rsid w:val="005A50F4"/>
    <w:rsid w:val="005A57F7"/>
    <w:rsid w:val="005A6A82"/>
    <w:rsid w:val="005A7156"/>
    <w:rsid w:val="005A7CB4"/>
    <w:rsid w:val="005A7E05"/>
    <w:rsid w:val="005A7E2A"/>
    <w:rsid w:val="005B08C4"/>
    <w:rsid w:val="005B0EC5"/>
    <w:rsid w:val="005B2FE4"/>
    <w:rsid w:val="005B33B9"/>
    <w:rsid w:val="005B3F9F"/>
    <w:rsid w:val="005B41A5"/>
    <w:rsid w:val="005B5E6E"/>
    <w:rsid w:val="005B5F1A"/>
    <w:rsid w:val="005B684C"/>
    <w:rsid w:val="005B6B31"/>
    <w:rsid w:val="005B732E"/>
    <w:rsid w:val="005C0381"/>
    <w:rsid w:val="005C055D"/>
    <w:rsid w:val="005C0570"/>
    <w:rsid w:val="005C0E30"/>
    <w:rsid w:val="005C0EC2"/>
    <w:rsid w:val="005C1D08"/>
    <w:rsid w:val="005C4F28"/>
    <w:rsid w:val="005C64C9"/>
    <w:rsid w:val="005C6560"/>
    <w:rsid w:val="005C67AC"/>
    <w:rsid w:val="005C6BD8"/>
    <w:rsid w:val="005D037B"/>
    <w:rsid w:val="005D0F72"/>
    <w:rsid w:val="005D103E"/>
    <w:rsid w:val="005D1BB0"/>
    <w:rsid w:val="005D3056"/>
    <w:rsid w:val="005D313D"/>
    <w:rsid w:val="005D4466"/>
    <w:rsid w:val="005D4C8A"/>
    <w:rsid w:val="005D5683"/>
    <w:rsid w:val="005D5859"/>
    <w:rsid w:val="005D601F"/>
    <w:rsid w:val="005D650E"/>
    <w:rsid w:val="005D7416"/>
    <w:rsid w:val="005D79A7"/>
    <w:rsid w:val="005E01B0"/>
    <w:rsid w:val="005E02EB"/>
    <w:rsid w:val="005E064C"/>
    <w:rsid w:val="005E14C8"/>
    <w:rsid w:val="005E1686"/>
    <w:rsid w:val="005E1A47"/>
    <w:rsid w:val="005E21EC"/>
    <w:rsid w:val="005E26C2"/>
    <w:rsid w:val="005E317F"/>
    <w:rsid w:val="005E3971"/>
    <w:rsid w:val="005E3EA6"/>
    <w:rsid w:val="005E4B1B"/>
    <w:rsid w:val="005E4B4C"/>
    <w:rsid w:val="005E4D82"/>
    <w:rsid w:val="005E5059"/>
    <w:rsid w:val="005E58F3"/>
    <w:rsid w:val="005E592E"/>
    <w:rsid w:val="005E624E"/>
    <w:rsid w:val="005E6484"/>
    <w:rsid w:val="005E7D08"/>
    <w:rsid w:val="005F0A5D"/>
    <w:rsid w:val="005F3459"/>
    <w:rsid w:val="005F36E7"/>
    <w:rsid w:val="005F38B9"/>
    <w:rsid w:val="005F47CA"/>
    <w:rsid w:val="00600003"/>
    <w:rsid w:val="0060049E"/>
    <w:rsid w:val="006009ED"/>
    <w:rsid w:val="00601268"/>
    <w:rsid w:val="00601529"/>
    <w:rsid w:val="006018B2"/>
    <w:rsid w:val="00601902"/>
    <w:rsid w:val="0060228A"/>
    <w:rsid w:val="0060266A"/>
    <w:rsid w:val="00603597"/>
    <w:rsid w:val="006039E1"/>
    <w:rsid w:val="00603AAC"/>
    <w:rsid w:val="00603C67"/>
    <w:rsid w:val="00604146"/>
    <w:rsid w:val="0060438E"/>
    <w:rsid w:val="0060573F"/>
    <w:rsid w:val="00605904"/>
    <w:rsid w:val="0060627F"/>
    <w:rsid w:val="00606933"/>
    <w:rsid w:val="00607644"/>
    <w:rsid w:val="006079B3"/>
    <w:rsid w:val="00607E30"/>
    <w:rsid w:val="00610732"/>
    <w:rsid w:val="00610F18"/>
    <w:rsid w:val="00610F31"/>
    <w:rsid w:val="006110A2"/>
    <w:rsid w:val="00611477"/>
    <w:rsid w:val="006117F6"/>
    <w:rsid w:val="00611C86"/>
    <w:rsid w:val="00611F5A"/>
    <w:rsid w:val="00612495"/>
    <w:rsid w:val="0061293B"/>
    <w:rsid w:val="00613331"/>
    <w:rsid w:val="006153E7"/>
    <w:rsid w:val="006158E5"/>
    <w:rsid w:val="00615BF7"/>
    <w:rsid w:val="00617592"/>
    <w:rsid w:val="00617CB2"/>
    <w:rsid w:val="00620F85"/>
    <w:rsid w:val="006217BC"/>
    <w:rsid w:val="00621AE5"/>
    <w:rsid w:val="0062276E"/>
    <w:rsid w:val="00623551"/>
    <w:rsid w:val="0062618A"/>
    <w:rsid w:val="00627177"/>
    <w:rsid w:val="00631BFB"/>
    <w:rsid w:val="00632402"/>
    <w:rsid w:val="0063269D"/>
    <w:rsid w:val="00633F56"/>
    <w:rsid w:val="00634DCA"/>
    <w:rsid w:val="00635615"/>
    <w:rsid w:val="00635F8E"/>
    <w:rsid w:val="006410D5"/>
    <w:rsid w:val="00641262"/>
    <w:rsid w:val="006417D4"/>
    <w:rsid w:val="00641CC1"/>
    <w:rsid w:val="006425E8"/>
    <w:rsid w:val="0064309D"/>
    <w:rsid w:val="00643419"/>
    <w:rsid w:val="00643A89"/>
    <w:rsid w:val="00644253"/>
    <w:rsid w:val="00644402"/>
    <w:rsid w:val="00645C76"/>
    <w:rsid w:val="0064639F"/>
    <w:rsid w:val="00646DA1"/>
    <w:rsid w:val="00650EA4"/>
    <w:rsid w:val="00650F16"/>
    <w:rsid w:val="00651A42"/>
    <w:rsid w:val="006526CE"/>
    <w:rsid w:val="00652B3C"/>
    <w:rsid w:val="00653232"/>
    <w:rsid w:val="00653581"/>
    <w:rsid w:val="006536B0"/>
    <w:rsid w:val="00654CBC"/>
    <w:rsid w:val="006554BB"/>
    <w:rsid w:val="00655EE7"/>
    <w:rsid w:val="006567CD"/>
    <w:rsid w:val="00657063"/>
    <w:rsid w:val="0066089E"/>
    <w:rsid w:val="00660B8E"/>
    <w:rsid w:val="00660C11"/>
    <w:rsid w:val="00660C4C"/>
    <w:rsid w:val="00661FA4"/>
    <w:rsid w:val="00662BB4"/>
    <w:rsid w:val="00662D71"/>
    <w:rsid w:val="00663BB1"/>
    <w:rsid w:val="00663BD7"/>
    <w:rsid w:val="006640AC"/>
    <w:rsid w:val="0066428F"/>
    <w:rsid w:val="006642C1"/>
    <w:rsid w:val="0066486A"/>
    <w:rsid w:val="00664D9D"/>
    <w:rsid w:val="00664F12"/>
    <w:rsid w:val="00665BFC"/>
    <w:rsid w:val="00666568"/>
    <w:rsid w:val="00666612"/>
    <w:rsid w:val="0066775B"/>
    <w:rsid w:val="00670048"/>
    <w:rsid w:val="006700AA"/>
    <w:rsid w:val="006703CC"/>
    <w:rsid w:val="00670613"/>
    <w:rsid w:val="00670F7B"/>
    <w:rsid w:val="00671F46"/>
    <w:rsid w:val="006746E7"/>
    <w:rsid w:val="00676915"/>
    <w:rsid w:val="0067693E"/>
    <w:rsid w:val="00677335"/>
    <w:rsid w:val="00677BAF"/>
    <w:rsid w:val="006802B4"/>
    <w:rsid w:val="00680325"/>
    <w:rsid w:val="006803D9"/>
    <w:rsid w:val="00681130"/>
    <w:rsid w:val="00681CC9"/>
    <w:rsid w:val="00681FB9"/>
    <w:rsid w:val="0068214C"/>
    <w:rsid w:val="006822DF"/>
    <w:rsid w:val="00682B1D"/>
    <w:rsid w:val="00682B26"/>
    <w:rsid w:val="00684625"/>
    <w:rsid w:val="00685387"/>
    <w:rsid w:val="00686718"/>
    <w:rsid w:val="006878AC"/>
    <w:rsid w:val="00687ECF"/>
    <w:rsid w:val="006908A7"/>
    <w:rsid w:val="006910E5"/>
    <w:rsid w:val="00691D4B"/>
    <w:rsid w:val="00692431"/>
    <w:rsid w:val="00692680"/>
    <w:rsid w:val="006929A6"/>
    <w:rsid w:val="00692C04"/>
    <w:rsid w:val="00692DAA"/>
    <w:rsid w:val="00693DD6"/>
    <w:rsid w:val="0069408F"/>
    <w:rsid w:val="006940C5"/>
    <w:rsid w:val="006942DE"/>
    <w:rsid w:val="00694A99"/>
    <w:rsid w:val="00695191"/>
    <w:rsid w:val="0069561F"/>
    <w:rsid w:val="0069573B"/>
    <w:rsid w:val="00696513"/>
    <w:rsid w:val="0069699F"/>
    <w:rsid w:val="00696C5E"/>
    <w:rsid w:val="006970BF"/>
    <w:rsid w:val="006A1625"/>
    <w:rsid w:val="006A1F0B"/>
    <w:rsid w:val="006A2C8A"/>
    <w:rsid w:val="006A3333"/>
    <w:rsid w:val="006A3490"/>
    <w:rsid w:val="006A3D5F"/>
    <w:rsid w:val="006A4109"/>
    <w:rsid w:val="006A4945"/>
    <w:rsid w:val="006A49C2"/>
    <w:rsid w:val="006A51B2"/>
    <w:rsid w:val="006A5452"/>
    <w:rsid w:val="006A5C13"/>
    <w:rsid w:val="006A5C60"/>
    <w:rsid w:val="006A5D71"/>
    <w:rsid w:val="006A636E"/>
    <w:rsid w:val="006A6EB8"/>
    <w:rsid w:val="006A7D67"/>
    <w:rsid w:val="006A7E73"/>
    <w:rsid w:val="006B0994"/>
    <w:rsid w:val="006B0C57"/>
    <w:rsid w:val="006B0D2E"/>
    <w:rsid w:val="006B2250"/>
    <w:rsid w:val="006B28CC"/>
    <w:rsid w:val="006B40F3"/>
    <w:rsid w:val="006B4774"/>
    <w:rsid w:val="006B493B"/>
    <w:rsid w:val="006B5CEC"/>
    <w:rsid w:val="006B73A7"/>
    <w:rsid w:val="006B7580"/>
    <w:rsid w:val="006C047E"/>
    <w:rsid w:val="006C056A"/>
    <w:rsid w:val="006C0836"/>
    <w:rsid w:val="006C4779"/>
    <w:rsid w:val="006C4A9E"/>
    <w:rsid w:val="006C67AF"/>
    <w:rsid w:val="006C72C4"/>
    <w:rsid w:val="006C7365"/>
    <w:rsid w:val="006C75A6"/>
    <w:rsid w:val="006C79BD"/>
    <w:rsid w:val="006C7C70"/>
    <w:rsid w:val="006D0228"/>
    <w:rsid w:val="006D12C6"/>
    <w:rsid w:val="006D1553"/>
    <w:rsid w:val="006D1C6E"/>
    <w:rsid w:val="006D1D30"/>
    <w:rsid w:val="006D2A8E"/>
    <w:rsid w:val="006D2BC2"/>
    <w:rsid w:val="006D389E"/>
    <w:rsid w:val="006D5746"/>
    <w:rsid w:val="006D6647"/>
    <w:rsid w:val="006D6F16"/>
    <w:rsid w:val="006E00BF"/>
    <w:rsid w:val="006E05AD"/>
    <w:rsid w:val="006E07B4"/>
    <w:rsid w:val="006E225C"/>
    <w:rsid w:val="006E241D"/>
    <w:rsid w:val="006E2F33"/>
    <w:rsid w:val="006E31F4"/>
    <w:rsid w:val="006E3489"/>
    <w:rsid w:val="006E34B4"/>
    <w:rsid w:val="006E3BAF"/>
    <w:rsid w:val="006E4DC6"/>
    <w:rsid w:val="006E6279"/>
    <w:rsid w:val="006E6C04"/>
    <w:rsid w:val="006E755C"/>
    <w:rsid w:val="006E7608"/>
    <w:rsid w:val="006E7CED"/>
    <w:rsid w:val="006F0850"/>
    <w:rsid w:val="006F08F4"/>
    <w:rsid w:val="006F1573"/>
    <w:rsid w:val="006F195A"/>
    <w:rsid w:val="006F1BB1"/>
    <w:rsid w:val="006F1D81"/>
    <w:rsid w:val="006F21F1"/>
    <w:rsid w:val="006F34CF"/>
    <w:rsid w:val="006F3AB4"/>
    <w:rsid w:val="006F3B85"/>
    <w:rsid w:val="006F40E2"/>
    <w:rsid w:val="006F430D"/>
    <w:rsid w:val="006F464A"/>
    <w:rsid w:val="006F46EE"/>
    <w:rsid w:val="006F5071"/>
    <w:rsid w:val="006F543C"/>
    <w:rsid w:val="006F5778"/>
    <w:rsid w:val="006F5F1E"/>
    <w:rsid w:val="006F5FAF"/>
    <w:rsid w:val="006F5FE3"/>
    <w:rsid w:val="006F63E8"/>
    <w:rsid w:val="006F77FF"/>
    <w:rsid w:val="006F7BAF"/>
    <w:rsid w:val="00700321"/>
    <w:rsid w:val="0070231B"/>
    <w:rsid w:val="0070231E"/>
    <w:rsid w:val="00702980"/>
    <w:rsid w:val="007037C7"/>
    <w:rsid w:val="00704480"/>
    <w:rsid w:val="0070590B"/>
    <w:rsid w:val="0070609E"/>
    <w:rsid w:val="00707CB9"/>
    <w:rsid w:val="00707E16"/>
    <w:rsid w:val="00711163"/>
    <w:rsid w:val="00711241"/>
    <w:rsid w:val="00711CE0"/>
    <w:rsid w:val="0071220A"/>
    <w:rsid w:val="00713CC4"/>
    <w:rsid w:val="00713EA7"/>
    <w:rsid w:val="0071504D"/>
    <w:rsid w:val="00716030"/>
    <w:rsid w:val="007166AE"/>
    <w:rsid w:val="00717EAD"/>
    <w:rsid w:val="0072033C"/>
    <w:rsid w:val="00720E51"/>
    <w:rsid w:val="007219D4"/>
    <w:rsid w:val="00722E86"/>
    <w:rsid w:val="0072340F"/>
    <w:rsid w:val="007238E7"/>
    <w:rsid w:val="00723D1A"/>
    <w:rsid w:val="007241BA"/>
    <w:rsid w:val="00724526"/>
    <w:rsid w:val="00724576"/>
    <w:rsid w:val="007251F8"/>
    <w:rsid w:val="00726A5C"/>
    <w:rsid w:val="00727538"/>
    <w:rsid w:val="007303CA"/>
    <w:rsid w:val="0073150D"/>
    <w:rsid w:val="007335FF"/>
    <w:rsid w:val="0073467F"/>
    <w:rsid w:val="00735561"/>
    <w:rsid w:val="00735647"/>
    <w:rsid w:val="00735B36"/>
    <w:rsid w:val="00737094"/>
    <w:rsid w:val="00737AF5"/>
    <w:rsid w:val="00737E80"/>
    <w:rsid w:val="00740E83"/>
    <w:rsid w:val="007415DB"/>
    <w:rsid w:val="00741CCE"/>
    <w:rsid w:val="00741D19"/>
    <w:rsid w:val="00743AC6"/>
    <w:rsid w:val="00744E01"/>
    <w:rsid w:val="00744F43"/>
    <w:rsid w:val="007453C9"/>
    <w:rsid w:val="007469B3"/>
    <w:rsid w:val="007470C5"/>
    <w:rsid w:val="007470EE"/>
    <w:rsid w:val="00750503"/>
    <w:rsid w:val="007511F0"/>
    <w:rsid w:val="0075127A"/>
    <w:rsid w:val="00752CBF"/>
    <w:rsid w:val="00754459"/>
    <w:rsid w:val="0075476E"/>
    <w:rsid w:val="007549A5"/>
    <w:rsid w:val="00755047"/>
    <w:rsid w:val="0075507E"/>
    <w:rsid w:val="0075561C"/>
    <w:rsid w:val="007560BB"/>
    <w:rsid w:val="00756684"/>
    <w:rsid w:val="00756B80"/>
    <w:rsid w:val="00756D90"/>
    <w:rsid w:val="0076125A"/>
    <w:rsid w:val="007618F2"/>
    <w:rsid w:val="0076374B"/>
    <w:rsid w:val="00763A27"/>
    <w:rsid w:val="00763BC3"/>
    <w:rsid w:val="00764F28"/>
    <w:rsid w:val="00765913"/>
    <w:rsid w:val="0077030B"/>
    <w:rsid w:val="0077069C"/>
    <w:rsid w:val="00771150"/>
    <w:rsid w:val="00771577"/>
    <w:rsid w:val="00771A48"/>
    <w:rsid w:val="00772073"/>
    <w:rsid w:val="00772422"/>
    <w:rsid w:val="00772967"/>
    <w:rsid w:val="00774233"/>
    <w:rsid w:val="00775274"/>
    <w:rsid w:val="00776D14"/>
    <w:rsid w:val="0077708D"/>
    <w:rsid w:val="007800F9"/>
    <w:rsid w:val="00780346"/>
    <w:rsid w:val="00780E7D"/>
    <w:rsid w:val="0078362E"/>
    <w:rsid w:val="00783C23"/>
    <w:rsid w:val="00783FD1"/>
    <w:rsid w:val="00783FE4"/>
    <w:rsid w:val="0078467F"/>
    <w:rsid w:val="00784CBA"/>
    <w:rsid w:val="007855E8"/>
    <w:rsid w:val="00785AC2"/>
    <w:rsid w:val="00785D63"/>
    <w:rsid w:val="007862F9"/>
    <w:rsid w:val="00786BDD"/>
    <w:rsid w:val="00787288"/>
    <w:rsid w:val="007873B2"/>
    <w:rsid w:val="0079007A"/>
    <w:rsid w:val="00790261"/>
    <w:rsid w:val="0079044E"/>
    <w:rsid w:val="00790788"/>
    <w:rsid w:val="007908F0"/>
    <w:rsid w:val="00790CDA"/>
    <w:rsid w:val="0079182F"/>
    <w:rsid w:val="0079184A"/>
    <w:rsid w:val="00791AA5"/>
    <w:rsid w:val="00791C88"/>
    <w:rsid w:val="007921F7"/>
    <w:rsid w:val="007928DC"/>
    <w:rsid w:val="00792BC8"/>
    <w:rsid w:val="00793CB7"/>
    <w:rsid w:val="00794EF1"/>
    <w:rsid w:val="0079562A"/>
    <w:rsid w:val="00795F6B"/>
    <w:rsid w:val="00796411"/>
    <w:rsid w:val="00796641"/>
    <w:rsid w:val="00797B98"/>
    <w:rsid w:val="007A0746"/>
    <w:rsid w:val="007A0B1C"/>
    <w:rsid w:val="007A0CC6"/>
    <w:rsid w:val="007A1A21"/>
    <w:rsid w:val="007A2D25"/>
    <w:rsid w:val="007A49B1"/>
    <w:rsid w:val="007A5515"/>
    <w:rsid w:val="007A6C61"/>
    <w:rsid w:val="007A6F67"/>
    <w:rsid w:val="007A6FB1"/>
    <w:rsid w:val="007A796E"/>
    <w:rsid w:val="007B083D"/>
    <w:rsid w:val="007B1ACE"/>
    <w:rsid w:val="007B258B"/>
    <w:rsid w:val="007B3BC5"/>
    <w:rsid w:val="007B3DF9"/>
    <w:rsid w:val="007B43E4"/>
    <w:rsid w:val="007B49F1"/>
    <w:rsid w:val="007B4C00"/>
    <w:rsid w:val="007B4F8F"/>
    <w:rsid w:val="007B51C9"/>
    <w:rsid w:val="007B56AD"/>
    <w:rsid w:val="007B5881"/>
    <w:rsid w:val="007B5941"/>
    <w:rsid w:val="007B6235"/>
    <w:rsid w:val="007B707D"/>
    <w:rsid w:val="007C03F2"/>
    <w:rsid w:val="007C12E7"/>
    <w:rsid w:val="007C1457"/>
    <w:rsid w:val="007C218F"/>
    <w:rsid w:val="007C2E97"/>
    <w:rsid w:val="007C3186"/>
    <w:rsid w:val="007C4456"/>
    <w:rsid w:val="007C4718"/>
    <w:rsid w:val="007C51DB"/>
    <w:rsid w:val="007C53E1"/>
    <w:rsid w:val="007C5881"/>
    <w:rsid w:val="007C61A8"/>
    <w:rsid w:val="007C6436"/>
    <w:rsid w:val="007C6BED"/>
    <w:rsid w:val="007D0A31"/>
    <w:rsid w:val="007D1355"/>
    <w:rsid w:val="007D165C"/>
    <w:rsid w:val="007D2276"/>
    <w:rsid w:val="007D2423"/>
    <w:rsid w:val="007D299F"/>
    <w:rsid w:val="007D3B42"/>
    <w:rsid w:val="007D478F"/>
    <w:rsid w:val="007D4800"/>
    <w:rsid w:val="007D5F7F"/>
    <w:rsid w:val="007D636F"/>
    <w:rsid w:val="007D660E"/>
    <w:rsid w:val="007D669E"/>
    <w:rsid w:val="007E0FA2"/>
    <w:rsid w:val="007E116F"/>
    <w:rsid w:val="007E179B"/>
    <w:rsid w:val="007E20C0"/>
    <w:rsid w:val="007E2D78"/>
    <w:rsid w:val="007E32B4"/>
    <w:rsid w:val="007E34BE"/>
    <w:rsid w:val="007E3D16"/>
    <w:rsid w:val="007E3E6D"/>
    <w:rsid w:val="007E3EF4"/>
    <w:rsid w:val="007E4BA1"/>
    <w:rsid w:val="007E4C9D"/>
    <w:rsid w:val="007E4CD4"/>
    <w:rsid w:val="007E5C1C"/>
    <w:rsid w:val="007E6484"/>
    <w:rsid w:val="007F16C5"/>
    <w:rsid w:val="007F1980"/>
    <w:rsid w:val="007F1CD0"/>
    <w:rsid w:val="007F2C80"/>
    <w:rsid w:val="007F2F42"/>
    <w:rsid w:val="007F36CF"/>
    <w:rsid w:val="007F37FE"/>
    <w:rsid w:val="007F3801"/>
    <w:rsid w:val="007F3EA5"/>
    <w:rsid w:val="007F3F6B"/>
    <w:rsid w:val="007F40A0"/>
    <w:rsid w:val="007F4B7E"/>
    <w:rsid w:val="007F500F"/>
    <w:rsid w:val="007F521C"/>
    <w:rsid w:val="007F5487"/>
    <w:rsid w:val="007F586B"/>
    <w:rsid w:val="007F5CF8"/>
    <w:rsid w:val="007F7579"/>
    <w:rsid w:val="007F78E4"/>
    <w:rsid w:val="008009B3"/>
    <w:rsid w:val="008011D9"/>
    <w:rsid w:val="00801BD8"/>
    <w:rsid w:val="00802026"/>
    <w:rsid w:val="00802044"/>
    <w:rsid w:val="008025E6"/>
    <w:rsid w:val="00802BB4"/>
    <w:rsid w:val="00802EFA"/>
    <w:rsid w:val="00803A9B"/>
    <w:rsid w:val="0080412D"/>
    <w:rsid w:val="00804422"/>
    <w:rsid w:val="00804C6A"/>
    <w:rsid w:val="00804F5F"/>
    <w:rsid w:val="0080559B"/>
    <w:rsid w:val="0080578F"/>
    <w:rsid w:val="00805A41"/>
    <w:rsid w:val="00805F66"/>
    <w:rsid w:val="00806F35"/>
    <w:rsid w:val="00810718"/>
    <w:rsid w:val="00811831"/>
    <w:rsid w:val="0081187F"/>
    <w:rsid w:val="00811BAC"/>
    <w:rsid w:val="00811DDD"/>
    <w:rsid w:val="008122B4"/>
    <w:rsid w:val="008129B7"/>
    <w:rsid w:val="00812D42"/>
    <w:rsid w:val="00813047"/>
    <w:rsid w:val="008141E8"/>
    <w:rsid w:val="00814576"/>
    <w:rsid w:val="00814F95"/>
    <w:rsid w:val="008165ED"/>
    <w:rsid w:val="00816B01"/>
    <w:rsid w:val="00817B67"/>
    <w:rsid w:val="00817BFE"/>
    <w:rsid w:val="00817D2E"/>
    <w:rsid w:val="00817FAF"/>
    <w:rsid w:val="008204D2"/>
    <w:rsid w:val="00820618"/>
    <w:rsid w:val="0082083B"/>
    <w:rsid w:val="0082087D"/>
    <w:rsid w:val="008210AE"/>
    <w:rsid w:val="008218EA"/>
    <w:rsid w:val="00821D81"/>
    <w:rsid w:val="00822E80"/>
    <w:rsid w:val="00823344"/>
    <w:rsid w:val="00823356"/>
    <w:rsid w:val="0082354F"/>
    <w:rsid w:val="00823C65"/>
    <w:rsid w:val="00823C79"/>
    <w:rsid w:val="00825756"/>
    <w:rsid w:val="00826659"/>
    <w:rsid w:val="008269C9"/>
    <w:rsid w:val="00827AA6"/>
    <w:rsid w:val="008303C8"/>
    <w:rsid w:val="00830709"/>
    <w:rsid w:val="00830DA8"/>
    <w:rsid w:val="0083190C"/>
    <w:rsid w:val="008331A9"/>
    <w:rsid w:val="00833665"/>
    <w:rsid w:val="00834230"/>
    <w:rsid w:val="008355F5"/>
    <w:rsid w:val="00835C14"/>
    <w:rsid w:val="00835F84"/>
    <w:rsid w:val="0083721B"/>
    <w:rsid w:val="008373D3"/>
    <w:rsid w:val="008374CE"/>
    <w:rsid w:val="0083786F"/>
    <w:rsid w:val="0083799D"/>
    <w:rsid w:val="00837C7C"/>
    <w:rsid w:val="008403A5"/>
    <w:rsid w:val="008409B1"/>
    <w:rsid w:val="008420A1"/>
    <w:rsid w:val="0084284D"/>
    <w:rsid w:val="00843293"/>
    <w:rsid w:val="00843BC7"/>
    <w:rsid w:val="00844730"/>
    <w:rsid w:val="00844FEA"/>
    <w:rsid w:val="00845568"/>
    <w:rsid w:val="008455D2"/>
    <w:rsid w:val="0084584E"/>
    <w:rsid w:val="00845A1A"/>
    <w:rsid w:val="0084678E"/>
    <w:rsid w:val="00846B5E"/>
    <w:rsid w:val="00847798"/>
    <w:rsid w:val="00847FB1"/>
    <w:rsid w:val="00847FC4"/>
    <w:rsid w:val="008509B6"/>
    <w:rsid w:val="00850CA4"/>
    <w:rsid w:val="008511F4"/>
    <w:rsid w:val="008523B2"/>
    <w:rsid w:val="00852CA8"/>
    <w:rsid w:val="00853756"/>
    <w:rsid w:val="00853D79"/>
    <w:rsid w:val="00854CB6"/>
    <w:rsid w:val="00854E4E"/>
    <w:rsid w:val="00855519"/>
    <w:rsid w:val="0085577F"/>
    <w:rsid w:val="00855BCC"/>
    <w:rsid w:val="0085757A"/>
    <w:rsid w:val="00860BCD"/>
    <w:rsid w:val="00861F3B"/>
    <w:rsid w:val="00862123"/>
    <w:rsid w:val="00862BCC"/>
    <w:rsid w:val="00863A56"/>
    <w:rsid w:val="00863ABF"/>
    <w:rsid w:val="00864B0D"/>
    <w:rsid w:val="00864B85"/>
    <w:rsid w:val="00865499"/>
    <w:rsid w:val="008661E3"/>
    <w:rsid w:val="00866439"/>
    <w:rsid w:val="00866A44"/>
    <w:rsid w:val="008670B0"/>
    <w:rsid w:val="00867A7C"/>
    <w:rsid w:val="00873324"/>
    <w:rsid w:val="0087354E"/>
    <w:rsid w:val="008735D5"/>
    <w:rsid w:val="00873726"/>
    <w:rsid w:val="00874586"/>
    <w:rsid w:val="00874706"/>
    <w:rsid w:val="00874D4B"/>
    <w:rsid w:val="008752AC"/>
    <w:rsid w:val="008756BE"/>
    <w:rsid w:val="00875F4F"/>
    <w:rsid w:val="00876E56"/>
    <w:rsid w:val="008804A7"/>
    <w:rsid w:val="008819EA"/>
    <w:rsid w:val="00884693"/>
    <w:rsid w:val="00885FA5"/>
    <w:rsid w:val="008869B2"/>
    <w:rsid w:val="00886D05"/>
    <w:rsid w:val="008879E0"/>
    <w:rsid w:val="00890C34"/>
    <w:rsid w:val="008911AE"/>
    <w:rsid w:val="008912FB"/>
    <w:rsid w:val="008937E0"/>
    <w:rsid w:val="008944F4"/>
    <w:rsid w:val="0089491B"/>
    <w:rsid w:val="00895182"/>
    <w:rsid w:val="008957E0"/>
    <w:rsid w:val="00895A75"/>
    <w:rsid w:val="00897A88"/>
    <w:rsid w:val="00897E49"/>
    <w:rsid w:val="008A02DE"/>
    <w:rsid w:val="008A0407"/>
    <w:rsid w:val="008A09A0"/>
    <w:rsid w:val="008A177A"/>
    <w:rsid w:val="008A1788"/>
    <w:rsid w:val="008A1D41"/>
    <w:rsid w:val="008A21FE"/>
    <w:rsid w:val="008A2833"/>
    <w:rsid w:val="008A2E0C"/>
    <w:rsid w:val="008A2EF8"/>
    <w:rsid w:val="008A3257"/>
    <w:rsid w:val="008A35F0"/>
    <w:rsid w:val="008A3D01"/>
    <w:rsid w:val="008A3D78"/>
    <w:rsid w:val="008A3F20"/>
    <w:rsid w:val="008A43D4"/>
    <w:rsid w:val="008A44A4"/>
    <w:rsid w:val="008A4895"/>
    <w:rsid w:val="008A4F5A"/>
    <w:rsid w:val="008A53A4"/>
    <w:rsid w:val="008A559C"/>
    <w:rsid w:val="008A59C5"/>
    <w:rsid w:val="008A6B2F"/>
    <w:rsid w:val="008A7B17"/>
    <w:rsid w:val="008B0093"/>
    <w:rsid w:val="008B0154"/>
    <w:rsid w:val="008B1011"/>
    <w:rsid w:val="008B194F"/>
    <w:rsid w:val="008B1F9A"/>
    <w:rsid w:val="008B2E1E"/>
    <w:rsid w:val="008B3016"/>
    <w:rsid w:val="008B36BA"/>
    <w:rsid w:val="008B5C6A"/>
    <w:rsid w:val="008B63F8"/>
    <w:rsid w:val="008B7A3D"/>
    <w:rsid w:val="008C358D"/>
    <w:rsid w:val="008C45D7"/>
    <w:rsid w:val="008C478C"/>
    <w:rsid w:val="008C571B"/>
    <w:rsid w:val="008C5990"/>
    <w:rsid w:val="008C6374"/>
    <w:rsid w:val="008C644B"/>
    <w:rsid w:val="008C6705"/>
    <w:rsid w:val="008D0015"/>
    <w:rsid w:val="008D0BC2"/>
    <w:rsid w:val="008D161A"/>
    <w:rsid w:val="008D2923"/>
    <w:rsid w:val="008D3149"/>
    <w:rsid w:val="008D35FB"/>
    <w:rsid w:val="008D3DF5"/>
    <w:rsid w:val="008D4C09"/>
    <w:rsid w:val="008D5B54"/>
    <w:rsid w:val="008D634F"/>
    <w:rsid w:val="008D67EF"/>
    <w:rsid w:val="008D72EE"/>
    <w:rsid w:val="008D7362"/>
    <w:rsid w:val="008D7C30"/>
    <w:rsid w:val="008E036D"/>
    <w:rsid w:val="008E098C"/>
    <w:rsid w:val="008E0B86"/>
    <w:rsid w:val="008E1A12"/>
    <w:rsid w:val="008E1B8C"/>
    <w:rsid w:val="008E1B9D"/>
    <w:rsid w:val="008E23F1"/>
    <w:rsid w:val="008E25B7"/>
    <w:rsid w:val="008E2C77"/>
    <w:rsid w:val="008E4923"/>
    <w:rsid w:val="008E49B4"/>
    <w:rsid w:val="008E524C"/>
    <w:rsid w:val="008E6FCA"/>
    <w:rsid w:val="008E7FE1"/>
    <w:rsid w:val="008F0961"/>
    <w:rsid w:val="008F09C6"/>
    <w:rsid w:val="008F0C89"/>
    <w:rsid w:val="008F2327"/>
    <w:rsid w:val="008F37C2"/>
    <w:rsid w:val="008F383D"/>
    <w:rsid w:val="008F6FA8"/>
    <w:rsid w:val="008F76D7"/>
    <w:rsid w:val="0090007A"/>
    <w:rsid w:val="00900FEE"/>
    <w:rsid w:val="00901020"/>
    <w:rsid w:val="00902B48"/>
    <w:rsid w:val="009049D9"/>
    <w:rsid w:val="009050FF"/>
    <w:rsid w:val="009054AD"/>
    <w:rsid w:val="00905797"/>
    <w:rsid w:val="00906D3C"/>
    <w:rsid w:val="009071A2"/>
    <w:rsid w:val="009078E5"/>
    <w:rsid w:val="00907950"/>
    <w:rsid w:val="00907A3F"/>
    <w:rsid w:val="00907F4A"/>
    <w:rsid w:val="00910657"/>
    <w:rsid w:val="00911782"/>
    <w:rsid w:val="00911BA4"/>
    <w:rsid w:val="009124B0"/>
    <w:rsid w:val="0091313B"/>
    <w:rsid w:val="0091328E"/>
    <w:rsid w:val="00913832"/>
    <w:rsid w:val="0091383A"/>
    <w:rsid w:val="00913C86"/>
    <w:rsid w:val="0091436C"/>
    <w:rsid w:val="00914D75"/>
    <w:rsid w:val="0091565C"/>
    <w:rsid w:val="00915AFF"/>
    <w:rsid w:val="00916638"/>
    <w:rsid w:val="00917A45"/>
    <w:rsid w:val="00917F97"/>
    <w:rsid w:val="0092006D"/>
    <w:rsid w:val="009206D1"/>
    <w:rsid w:val="00920713"/>
    <w:rsid w:val="00921681"/>
    <w:rsid w:val="00921CDF"/>
    <w:rsid w:val="00923090"/>
    <w:rsid w:val="00923CCF"/>
    <w:rsid w:val="0092521D"/>
    <w:rsid w:val="0092531F"/>
    <w:rsid w:val="00925EE5"/>
    <w:rsid w:val="009263F3"/>
    <w:rsid w:val="00926B34"/>
    <w:rsid w:val="00926EAB"/>
    <w:rsid w:val="00926F59"/>
    <w:rsid w:val="00927777"/>
    <w:rsid w:val="009278C1"/>
    <w:rsid w:val="00927C4B"/>
    <w:rsid w:val="00930021"/>
    <w:rsid w:val="009302EF"/>
    <w:rsid w:val="009308E2"/>
    <w:rsid w:val="009317BE"/>
    <w:rsid w:val="00932477"/>
    <w:rsid w:val="00933127"/>
    <w:rsid w:val="00933E2E"/>
    <w:rsid w:val="00935916"/>
    <w:rsid w:val="00935921"/>
    <w:rsid w:val="00936240"/>
    <w:rsid w:val="0093627D"/>
    <w:rsid w:val="00936BDF"/>
    <w:rsid w:val="00937DA6"/>
    <w:rsid w:val="009405C8"/>
    <w:rsid w:val="00941256"/>
    <w:rsid w:val="00942281"/>
    <w:rsid w:val="00942632"/>
    <w:rsid w:val="009434AE"/>
    <w:rsid w:val="00944D7C"/>
    <w:rsid w:val="00946329"/>
    <w:rsid w:val="009469A5"/>
    <w:rsid w:val="00946A4E"/>
    <w:rsid w:val="00946E2B"/>
    <w:rsid w:val="00946F8B"/>
    <w:rsid w:val="00947DB8"/>
    <w:rsid w:val="00950CEF"/>
    <w:rsid w:val="00950D78"/>
    <w:rsid w:val="009515A4"/>
    <w:rsid w:val="009527A4"/>
    <w:rsid w:val="0095317E"/>
    <w:rsid w:val="00954117"/>
    <w:rsid w:val="00954B8C"/>
    <w:rsid w:val="00954E35"/>
    <w:rsid w:val="00955356"/>
    <w:rsid w:val="00955559"/>
    <w:rsid w:val="009555A5"/>
    <w:rsid w:val="00955969"/>
    <w:rsid w:val="00955A99"/>
    <w:rsid w:val="00955B93"/>
    <w:rsid w:val="0095645B"/>
    <w:rsid w:val="0095736D"/>
    <w:rsid w:val="009573C0"/>
    <w:rsid w:val="009578AD"/>
    <w:rsid w:val="00957A07"/>
    <w:rsid w:val="009604AD"/>
    <w:rsid w:val="00961F91"/>
    <w:rsid w:val="00962D64"/>
    <w:rsid w:val="0096360E"/>
    <w:rsid w:val="00963B35"/>
    <w:rsid w:val="00963E62"/>
    <w:rsid w:val="009657E8"/>
    <w:rsid w:val="00965D1A"/>
    <w:rsid w:val="00965DB2"/>
    <w:rsid w:val="009673D7"/>
    <w:rsid w:val="00967A6C"/>
    <w:rsid w:val="00970D82"/>
    <w:rsid w:val="00971030"/>
    <w:rsid w:val="00971CF5"/>
    <w:rsid w:val="0097259F"/>
    <w:rsid w:val="00972BB4"/>
    <w:rsid w:val="009730C7"/>
    <w:rsid w:val="0097313E"/>
    <w:rsid w:val="00973D89"/>
    <w:rsid w:val="0097462A"/>
    <w:rsid w:val="009748F1"/>
    <w:rsid w:val="0097533D"/>
    <w:rsid w:val="00975624"/>
    <w:rsid w:val="009760E6"/>
    <w:rsid w:val="0097643B"/>
    <w:rsid w:val="00976F4E"/>
    <w:rsid w:val="009776A5"/>
    <w:rsid w:val="0097779D"/>
    <w:rsid w:val="00977BA8"/>
    <w:rsid w:val="00977F70"/>
    <w:rsid w:val="00981CA3"/>
    <w:rsid w:val="00981E6C"/>
    <w:rsid w:val="00982507"/>
    <w:rsid w:val="00982519"/>
    <w:rsid w:val="00982AB6"/>
    <w:rsid w:val="00982B57"/>
    <w:rsid w:val="00983783"/>
    <w:rsid w:val="00984A4C"/>
    <w:rsid w:val="00985681"/>
    <w:rsid w:val="009856B6"/>
    <w:rsid w:val="009856F1"/>
    <w:rsid w:val="00985A3A"/>
    <w:rsid w:val="00985D61"/>
    <w:rsid w:val="00986A54"/>
    <w:rsid w:val="00986D2F"/>
    <w:rsid w:val="00986FDF"/>
    <w:rsid w:val="00987089"/>
    <w:rsid w:val="00987095"/>
    <w:rsid w:val="009870BD"/>
    <w:rsid w:val="009875D0"/>
    <w:rsid w:val="0099012D"/>
    <w:rsid w:val="00990168"/>
    <w:rsid w:val="0099088F"/>
    <w:rsid w:val="0099109B"/>
    <w:rsid w:val="00991976"/>
    <w:rsid w:val="00992E52"/>
    <w:rsid w:val="009937BE"/>
    <w:rsid w:val="00993C17"/>
    <w:rsid w:val="009943D0"/>
    <w:rsid w:val="00994CB0"/>
    <w:rsid w:val="009958CC"/>
    <w:rsid w:val="009971BB"/>
    <w:rsid w:val="00997900"/>
    <w:rsid w:val="00997F6F"/>
    <w:rsid w:val="009A003B"/>
    <w:rsid w:val="009A01D8"/>
    <w:rsid w:val="009A0C20"/>
    <w:rsid w:val="009A0CE4"/>
    <w:rsid w:val="009A263F"/>
    <w:rsid w:val="009A286A"/>
    <w:rsid w:val="009A2926"/>
    <w:rsid w:val="009A3057"/>
    <w:rsid w:val="009A3490"/>
    <w:rsid w:val="009A3555"/>
    <w:rsid w:val="009A3659"/>
    <w:rsid w:val="009A3C0C"/>
    <w:rsid w:val="009A4CDF"/>
    <w:rsid w:val="009A5561"/>
    <w:rsid w:val="009A5968"/>
    <w:rsid w:val="009A5AC7"/>
    <w:rsid w:val="009A748D"/>
    <w:rsid w:val="009A7888"/>
    <w:rsid w:val="009A7DE9"/>
    <w:rsid w:val="009B000F"/>
    <w:rsid w:val="009B0566"/>
    <w:rsid w:val="009B1B5B"/>
    <w:rsid w:val="009B25A9"/>
    <w:rsid w:val="009B2615"/>
    <w:rsid w:val="009B31F7"/>
    <w:rsid w:val="009B340E"/>
    <w:rsid w:val="009B3893"/>
    <w:rsid w:val="009B3920"/>
    <w:rsid w:val="009B3F0C"/>
    <w:rsid w:val="009B42A3"/>
    <w:rsid w:val="009B4367"/>
    <w:rsid w:val="009B5070"/>
    <w:rsid w:val="009B52AD"/>
    <w:rsid w:val="009B5C31"/>
    <w:rsid w:val="009B62E5"/>
    <w:rsid w:val="009B664D"/>
    <w:rsid w:val="009B6A0D"/>
    <w:rsid w:val="009B783C"/>
    <w:rsid w:val="009C075D"/>
    <w:rsid w:val="009C0F4C"/>
    <w:rsid w:val="009C14F2"/>
    <w:rsid w:val="009C18A4"/>
    <w:rsid w:val="009C18F0"/>
    <w:rsid w:val="009C4376"/>
    <w:rsid w:val="009C4572"/>
    <w:rsid w:val="009C7209"/>
    <w:rsid w:val="009C7D87"/>
    <w:rsid w:val="009D0568"/>
    <w:rsid w:val="009D09DA"/>
    <w:rsid w:val="009D1988"/>
    <w:rsid w:val="009D1CBA"/>
    <w:rsid w:val="009D1F41"/>
    <w:rsid w:val="009D200B"/>
    <w:rsid w:val="009D28BE"/>
    <w:rsid w:val="009D323F"/>
    <w:rsid w:val="009D3C0F"/>
    <w:rsid w:val="009D46A4"/>
    <w:rsid w:val="009D4FFA"/>
    <w:rsid w:val="009D504B"/>
    <w:rsid w:val="009D62D2"/>
    <w:rsid w:val="009D64E8"/>
    <w:rsid w:val="009D77F6"/>
    <w:rsid w:val="009D79B8"/>
    <w:rsid w:val="009D7BDE"/>
    <w:rsid w:val="009E00FC"/>
    <w:rsid w:val="009E0D82"/>
    <w:rsid w:val="009E0F41"/>
    <w:rsid w:val="009E250C"/>
    <w:rsid w:val="009E2F63"/>
    <w:rsid w:val="009E349E"/>
    <w:rsid w:val="009E353C"/>
    <w:rsid w:val="009E37C4"/>
    <w:rsid w:val="009E3F2D"/>
    <w:rsid w:val="009E4215"/>
    <w:rsid w:val="009E45A1"/>
    <w:rsid w:val="009E5596"/>
    <w:rsid w:val="009E5B0A"/>
    <w:rsid w:val="009E6216"/>
    <w:rsid w:val="009E69B8"/>
    <w:rsid w:val="009E6C5A"/>
    <w:rsid w:val="009E718E"/>
    <w:rsid w:val="009F0755"/>
    <w:rsid w:val="009F0FEB"/>
    <w:rsid w:val="009F1466"/>
    <w:rsid w:val="009F1753"/>
    <w:rsid w:val="009F1BDE"/>
    <w:rsid w:val="009F3C4A"/>
    <w:rsid w:val="009F3D4B"/>
    <w:rsid w:val="009F4DE7"/>
    <w:rsid w:val="009F5242"/>
    <w:rsid w:val="009F5262"/>
    <w:rsid w:val="009F62C6"/>
    <w:rsid w:val="009F65C3"/>
    <w:rsid w:val="009F68B9"/>
    <w:rsid w:val="00A00091"/>
    <w:rsid w:val="00A005CC"/>
    <w:rsid w:val="00A020C0"/>
    <w:rsid w:val="00A039D1"/>
    <w:rsid w:val="00A05444"/>
    <w:rsid w:val="00A10EB3"/>
    <w:rsid w:val="00A11ADB"/>
    <w:rsid w:val="00A12113"/>
    <w:rsid w:val="00A12322"/>
    <w:rsid w:val="00A135D6"/>
    <w:rsid w:val="00A1399F"/>
    <w:rsid w:val="00A14375"/>
    <w:rsid w:val="00A1487C"/>
    <w:rsid w:val="00A158FC"/>
    <w:rsid w:val="00A15A98"/>
    <w:rsid w:val="00A15AC6"/>
    <w:rsid w:val="00A16CB6"/>
    <w:rsid w:val="00A20CCE"/>
    <w:rsid w:val="00A20E48"/>
    <w:rsid w:val="00A21B5E"/>
    <w:rsid w:val="00A228F9"/>
    <w:rsid w:val="00A23CAB"/>
    <w:rsid w:val="00A24532"/>
    <w:rsid w:val="00A26621"/>
    <w:rsid w:val="00A2702C"/>
    <w:rsid w:val="00A27CFC"/>
    <w:rsid w:val="00A3155E"/>
    <w:rsid w:val="00A320D1"/>
    <w:rsid w:val="00A3302E"/>
    <w:rsid w:val="00A332E3"/>
    <w:rsid w:val="00A342D0"/>
    <w:rsid w:val="00A348CB"/>
    <w:rsid w:val="00A34C62"/>
    <w:rsid w:val="00A3576D"/>
    <w:rsid w:val="00A35A29"/>
    <w:rsid w:val="00A35EFA"/>
    <w:rsid w:val="00A36076"/>
    <w:rsid w:val="00A366A8"/>
    <w:rsid w:val="00A36BFB"/>
    <w:rsid w:val="00A37307"/>
    <w:rsid w:val="00A37799"/>
    <w:rsid w:val="00A37911"/>
    <w:rsid w:val="00A379D8"/>
    <w:rsid w:val="00A410B5"/>
    <w:rsid w:val="00A41A1B"/>
    <w:rsid w:val="00A41DB4"/>
    <w:rsid w:val="00A42CC8"/>
    <w:rsid w:val="00A44068"/>
    <w:rsid w:val="00A460D5"/>
    <w:rsid w:val="00A46146"/>
    <w:rsid w:val="00A464C6"/>
    <w:rsid w:val="00A465C6"/>
    <w:rsid w:val="00A4784D"/>
    <w:rsid w:val="00A47F09"/>
    <w:rsid w:val="00A5026B"/>
    <w:rsid w:val="00A50EF8"/>
    <w:rsid w:val="00A51F43"/>
    <w:rsid w:val="00A521D8"/>
    <w:rsid w:val="00A524DA"/>
    <w:rsid w:val="00A5251B"/>
    <w:rsid w:val="00A53348"/>
    <w:rsid w:val="00A53C14"/>
    <w:rsid w:val="00A54D4A"/>
    <w:rsid w:val="00A55451"/>
    <w:rsid w:val="00A559C4"/>
    <w:rsid w:val="00A55AA8"/>
    <w:rsid w:val="00A560C5"/>
    <w:rsid w:val="00A56256"/>
    <w:rsid w:val="00A565A3"/>
    <w:rsid w:val="00A56BC9"/>
    <w:rsid w:val="00A57145"/>
    <w:rsid w:val="00A57152"/>
    <w:rsid w:val="00A57698"/>
    <w:rsid w:val="00A57938"/>
    <w:rsid w:val="00A579B3"/>
    <w:rsid w:val="00A57FB3"/>
    <w:rsid w:val="00A60121"/>
    <w:rsid w:val="00A60241"/>
    <w:rsid w:val="00A60ABF"/>
    <w:rsid w:val="00A61186"/>
    <w:rsid w:val="00A61427"/>
    <w:rsid w:val="00A6159F"/>
    <w:rsid w:val="00A619B3"/>
    <w:rsid w:val="00A620C1"/>
    <w:rsid w:val="00A63DAB"/>
    <w:rsid w:val="00A64554"/>
    <w:rsid w:val="00A64EF0"/>
    <w:rsid w:val="00A6537A"/>
    <w:rsid w:val="00A65D65"/>
    <w:rsid w:val="00A65DEB"/>
    <w:rsid w:val="00A65EFB"/>
    <w:rsid w:val="00A66A63"/>
    <w:rsid w:val="00A66B2D"/>
    <w:rsid w:val="00A66D93"/>
    <w:rsid w:val="00A66F7D"/>
    <w:rsid w:val="00A67589"/>
    <w:rsid w:val="00A679C1"/>
    <w:rsid w:val="00A67EFA"/>
    <w:rsid w:val="00A708FD"/>
    <w:rsid w:val="00A716E0"/>
    <w:rsid w:val="00A7207F"/>
    <w:rsid w:val="00A7234E"/>
    <w:rsid w:val="00A726EA"/>
    <w:rsid w:val="00A727A0"/>
    <w:rsid w:val="00A731CC"/>
    <w:rsid w:val="00A7346D"/>
    <w:rsid w:val="00A73EC5"/>
    <w:rsid w:val="00A741F7"/>
    <w:rsid w:val="00A75859"/>
    <w:rsid w:val="00A76CF6"/>
    <w:rsid w:val="00A76FE3"/>
    <w:rsid w:val="00A80CD8"/>
    <w:rsid w:val="00A81500"/>
    <w:rsid w:val="00A81A16"/>
    <w:rsid w:val="00A82F8D"/>
    <w:rsid w:val="00A83B4E"/>
    <w:rsid w:val="00A841D6"/>
    <w:rsid w:val="00A855E0"/>
    <w:rsid w:val="00A8572F"/>
    <w:rsid w:val="00A85CAC"/>
    <w:rsid w:val="00A864DB"/>
    <w:rsid w:val="00A875CD"/>
    <w:rsid w:val="00A87989"/>
    <w:rsid w:val="00A879BA"/>
    <w:rsid w:val="00A9048E"/>
    <w:rsid w:val="00A90791"/>
    <w:rsid w:val="00A91DDF"/>
    <w:rsid w:val="00A91FB0"/>
    <w:rsid w:val="00A92689"/>
    <w:rsid w:val="00A92A33"/>
    <w:rsid w:val="00A92A67"/>
    <w:rsid w:val="00A92EF7"/>
    <w:rsid w:val="00A937DE"/>
    <w:rsid w:val="00A93CD2"/>
    <w:rsid w:val="00A94943"/>
    <w:rsid w:val="00A94C6B"/>
    <w:rsid w:val="00A9508E"/>
    <w:rsid w:val="00A954B3"/>
    <w:rsid w:val="00A95C3C"/>
    <w:rsid w:val="00A96285"/>
    <w:rsid w:val="00A97A81"/>
    <w:rsid w:val="00A97DAB"/>
    <w:rsid w:val="00AA0043"/>
    <w:rsid w:val="00AA0390"/>
    <w:rsid w:val="00AA078D"/>
    <w:rsid w:val="00AA0811"/>
    <w:rsid w:val="00AA14A9"/>
    <w:rsid w:val="00AA15CC"/>
    <w:rsid w:val="00AA1A3F"/>
    <w:rsid w:val="00AA232B"/>
    <w:rsid w:val="00AA25C3"/>
    <w:rsid w:val="00AA347F"/>
    <w:rsid w:val="00AA351F"/>
    <w:rsid w:val="00AA42EB"/>
    <w:rsid w:val="00AA45E5"/>
    <w:rsid w:val="00AA4822"/>
    <w:rsid w:val="00AA50DB"/>
    <w:rsid w:val="00AA55AA"/>
    <w:rsid w:val="00AA5AA4"/>
    <w:rsid w:val="00AA6316"/>
    <w:rsid w:val="00AA72E1"/>
    <w:rsid w:val="00AA74CE"/>
    <w:rsid w:val="00AA7AE1"/>
    <w:rsid w:val="00AA7B13"/>
    <w:rsid w:val="00AB023E"/>
    <w:rsid w:val="00AB056C"/>
    <w:rsid w:val="00AB12C2"/>
    <w:rsid w:val="00AB1A0A"/>
    <w:rsid w:val="00AB20D2"/>
    <w:rsid w:val="00AB3591"/>
    <w:rsid w:val="00AB3639"/>
    <w:rsid w:val="00AB42BA"/>
    <w:rsid w:val="00AB47C1"/>
    <w:rsid w:val="00AB4CCF"/>
    <w:rsid w:val="00AB5218"/>
    <w:rsid w:val="00AB59C2"/>
    <w:rsid w:val="00AB5BB9"/>
    <w:rsid w:val="00AB5C0B"/>
    <w:rsid w:val="00AC0C95"/>
    <w:rsid w:val="00AC2B8D"/>
    <w:rsid w:val="00AC2D69"/>
    <w:rsid w:val="00AC4240"/>
    <w:rsid w:val="00AC4483"/>
    <w:rsid w:val="00AC5219"/>
    <w:rsid w:val="00AC5229"/>
    <w:rsid w:val="00AC7A6D"/>
    <w:rsid w:val="00AC7DA1"/>
    <w:rsid w:val="00AD0155"/>
    <w:rsid w:val="00AD02F0"/>
    <w:rsid w:val="00AD0497"/>
    <w:rsid w:val="00AD1AAC"/>
    <w:rsid w:val="00AD1E96"/>
    <w:rsid w:val="00AD2095"/>
    <w:rsid w:val="00AD24A7"/>
    <w:rsid w:val="00AD26F4"/>
    <w:rsid w:val="00AD4724"/>
    <w:rsid w:val="00AD5348"/>
    <w:rsid w:val="00AD5801"/>
    <w:rsid w:val="00AD68FD"/>
    <w:rsid w:val="00AD6ADB"/>
    <w:rsid w:val="00AD6EFE"/>
    <w:rsid w:val="00AD7D4C"/>
    <w:rsid w:val="00AE0286"/>
    <w:rsid w:val="00AE1559"/>
    <w:rsid w:val="00AE193C"/>
    <w:rsid w:val="00AE1F26"/>
    <w:rsid w:val="00AE2318"/>
    <w:rsid w:val="00AE3726"/>
    <w:rsid w:val="00AE3728"/>
    <w:rsid w:val="00AE380A"/>
    <w:rsid w:val="00AE3B88"/>
    <w:rsid w:val="00AE3D88"/>
    <w:rsid w:val="00AE57C9"/>
    <w:rsid w:val="00AE64AA"/>
    <w:rsid w:val="00AE64EE"/>
    <w:rsid w:val="00AE6A26"/>
    <w:rsid w:val="00AE7723"/>
    <w:rsid w:val="00AF01AF"/>
    <w:rsid w:val="00AF04CC"/>
    <w:rsid w:val="00AF10A9"/>
    <w:rsid w:val="00AF1BB3"/>
    <w:rsid w:val="00AF1EE4"/>
    <w:rsid w:val="00AF21A2"/>
    <w:rsid w:val="00AF24C3"/>
    <w:rsid w:val="00AF27BD"/>
    <w:rsid w:val="00AF3125"/>
    <w:rsid w:val="00AF322D"/>
    <w:rsid w:val="00AF3C71"/>
    <w:rsid w:val="00AF4197"/>
    <w:rsid w:val="00AF42E3"/>
    <w:rsid w:val="00AF539E"/>
    <w:rsid w:val="00AF56BE"/>
    <w:rsid w:val="00AF59A6"/>
    <w:rsid w:val="00AF69E2"/>
    <w:rsid w:val="00AF6B31"/>
    <w:rsid w:val="00AF76DF"/>
    <w:rsid w:val="00AF76E5"/>
    <w:rsid w:val="00AF7F5D"/>
    <w:rsid w:val="00B001AF"/>
    <w:rsid w:val="00B008F1"/>
    <w:rsid w:val="00B00DC2"/>
    <w:rsid w:val="00B01599"/>
    <w:rsid w:val="00B0229B"/>
    <w:rsid w:val="00B024A2"/>
    <w:rsid w:val="00B02568"/>
    <w:rsid w:val="00B04388"/>
    <w:rsid w:val="00B043CA"/>
    <w:rsid w:val="00B05FB8"/>
    <w:rsid w:val="00B07025"/>
    <w:rsid w:val="00B1038E"/>
    <w:rsid w:val="00B10C14"/>
    <w:rsid w:val="00B11420"/>
    <w:rsid w:val="00B1149F"/>
    <w:rsid w:val="00B11AFE"/>
    <w:rsid w:val="00B11B94"/>
    <w:rsid w:val="00B12D07"/>
    <w:rsid w:val="00B13405"/>
    <w:rsid w:val="00B13B50"/>
    <w:rsid w:val="00B13F30"/>
    <w:rsid w:val="00B147F7"/>
    <w:rsid w:val="00B14946"/>
    <w:rsid w:val="00B14D6E"/>
    <w:rsid w:val="00B14FE8"/>
    <w:rsid w:val="00B154A5"/>
    <w:rsid w:val="00B15521"/>
    <w:rsid w:val="00B1558C"/>
    <w:rsid w:val="00B15EF1"/>
    <w:rsid w:val="00B160DD"/>
    <w:rsid w:val="00B1635B"/>
    <w:rsid w:val="00B163F3"/>
    <w:rsid w:val="00B16E64"/>
    <w:rsid w:val="00B202F6"/>
    <w:rsid w:val="00B2070A"/>
    <w:rsid w:val="00B210F5"/>
    <w:rsid w:val="00B21282"/>
    <w:rsid w:val="00B21A83"/>
    <w:rsid w:val="00B21DCC"/>
    <w:rsid w:val="00B220B2"/>
    <w:rsid w:val="00B22400"/>
    <w:rsid w:val="00B22699"/>
    <w:rsid w:val="00B2297A"/>
    <w:rsid w:val="00B22FC5"/>
    <w:rsid w:val="00B23516"/>
    <w:rsid w:val="00B23791"/>
    <w:rsid w:val="00B239B9"/>
    <w:rsid w:val="00B243A0"/>
    <w:rsid w:val="00B24760"/>
    <w:rsid w:val="00B24B1B"/>
    <w:rsid w:val="00B25CE4"/>
    <w:rsid w:val="00B26257"/>
    <w:rsid w:val="00B265F9"/>
    <w:rsid w:val="00B26924"/>
    <w:rsid w:val="00B26AD6"/>
    <w:rsid w:val="00B26C26"/>
    <w:rsid w:val="00B2708F"/>
    <w:rsid w:val="00B27583"/>
    <w:rsid w:val="00B27937"/>
    <w:rsid w:val="00B279B7"/>
    <w:rsid w:val="00B27A77"/>
    <w:rsid w:val="00B27D06"/>
    <w:rsid w:val="00B304E9"/>
    <w:rsid w:val="00B31361"/>
    <w:rsid w:val="00B31545"/>
    <w:rsid w:val="00B31B0A"/>
    <w:rsid w:val="00B3202B"/>
    <w:rsid w:val="00B327DE"/>
    <w:rsid w:val="00B32BB0"/>
    <w:rsid w:val="00B33247"/>
    <w:rsid w:val="00B33FCC"/>
    <w:rsid w:val="00B34BAF"/>
    <w:rsid w:val="00B350E8"/>
    <w:rsid w:val="00B3572C"/>
    <w:rsid w:val="00B35741"/>
    <w:rsid w:val="00B35BED"/>
    <w:rsid w:val="00B35D79"/>
    <w:rsid w:val="00B35FBD"/>
    <w:rsid w:val="00B36238"/>
    <w:rsid w:val="00B3655A"/>
    <w:rsid w:val="00B36732"/>
    <w:rsid w:val="00B3674D"/>
    <w:rsid w:val="00B367F6"/>
    <w:rsid w:val="00B369BE"/>
    <w:rsid w:val="00B3724B"/>
    <w:rsid w:val="00B401AB"/>
    <w:rsid w:val="00B40925"/>
    <w:rsid w:val="00B42367"/>
    <w:rsid w:val="00B43120"/>
    <w:rsid w:val="00B43AE9"/>
    <w:rsid w:val="00B43C9A"/>
    <w:rsid w:val="00B43E24"/>
    <w:rsid w:val="00B44367"/>
    <w:rsid w:val="00B464BB"/>
    <w:rsid w:val="00B46636"/>
    <w:rsid w:val="00B466E9"/>
    <w:rsid w:val="00B4743C"/>
    <w:rsid w:val="00B47A75"/>
    <w:rsid w:val="00B5050E"/>
    <w:rsid w:val="00B50ABF"/>
    <w:rsid w:val="00B50C1A"/>
    <w:rsid w:val="00B51095"/>
    <w:rsid w:val="00B512E0"/>
    <w:rsid w:val="00B51960"/>
    <w:rsid w:val="00B52218"/>
    <w:rsid w:val="00B52380"/>
    <w:rsid w:val="00B54690"/>
    <w:rsid w:val="00B548DC"/>
    <w:rsid w:val="00B55098"/>
    <w:rsid w:val="00B55BFA"/>
    <w:rsid w:val="00B56274"/>
    <w:rsid w:val="00B56DEE"/>
    <w:rsid w:val="00B570EB"/>
    <w:rsid w:val="00B57430"/>
    <w:rsid w:val="00B577BC"/>
    <w:rsid w:val="00B603B5"/>
    <w:rsid w:val="00B60FF6"/>
    <w:rsid w:val="00B6183C"/>
    <w:rsid w:val="00B61A0B"/>
    <w:rsid w:val="00B62417"/>
    <w:rsid w:val="00B629DA"/>
    <w:rsid w:val="00B62A00"/>
    <w:rsid w:val="00B654C4"/>
    <w:rsid w:val="00B6581C"/>
    <w:rsid w:val="00B659E2"/>
    <w:rsid w:val="00B65F75"/>
    <w:rsid w:val="00B66AF5"/>
    <w:rsid w:val="00B70B85"/>
    <w:rsid w:val="00B70FA0"/>
    <w:rsid w:val="00B720DE"/>
    <w:rsid w:val="00B72CA7"/>
    <w:rsid w:val="00B737A8"/>
    <w:rsid w:val="00B73B1F"/>
    <w:rsid w:val="00B73DC4"/>
    <w:rsid w:val="00B73FAF"/>
    <w:rsid w:val="00B75294"/>
    <w:rsid w:val="00B75C39"/>
    <w:rsid w:val="00B76793"/>
    <w:rsid w:val="00B76ED8"/>
    <w:rsid w:val="00B81B38"/>
    <w:rsid w:val="00B82C61"/>
    <w:rsid w:val="00B837C8"/>
    <w:rsid w:val="00B8407F"/>
    <w:rsid w:val="00B84401"/>
    <w:rsid w:val="00B847ED"/>
    <w:rsid w:val="00B85514"/>
    <w:rsid w:val="00B8592A"/>
    <w:rsid w:val="00B85CBC"/>
    <w:rsid w:val="00B86220"/>
    <w:rsid w:val="00B862D8"/>
    <w:rsid w:val="00B873D5"/>
    <w:rsid w:val="00B87AED"/>
    <w:rsid w:val="00B9038C"/>
    <w:rsid w:val="00B915E1"/>
    <w:rsid w:val="00B933AD"/>
    <w:rsid w:val="00B93C3A"/>
    <w:rsid w:val="00B941C4"/>
    <w:rsid w:val="00B9500D"/>
    <w:rsid w:val="00B961E3"/>
    <w:rsid w:val="00B97636"/>
    <w:rsid w:val="00B979A2"/>
    <w:rsid w:val="00B97E6B"/>
    <w:rsid w:val="00BA0DA9"/>
    <w:rsid w:val="00BA103E"/>
    <w:rsid w:val="00BA1C9F"/>
    <w:rsid w:val="00BA21BB"/>
    <w:rsid w:val="00BA225D"/>
    <w:rsid w:val="00BA2794"/>
    <w:rsid w:val="00BA27B4"/>
    <w:rsid w:val="00BA2B58"/>
    <w:rsid w:val="00BA2E7A"/>
    <w:rsid w:val="00BA37D9"/>
    <w:rsid w:val="00BA3EB7"/>
    <w:rsid w:val="00BA45AE"/>
    <w:rsid w:val="00BA4625"/>
    <w:rsid w:val="00BA6003"/>
    <w:rsid w:val="00BA600D"/>
    <w:rsid w:val="00BA66FE"/>
    <w:rsid w:val="00BA7460"/>
    <w:rsid w:val="00BA765F"/>
    <w:rsid w:val="00BB066E"/>
    <w:rsid w:val="00BB0E8C"/>
    <w:rsid w:val="00BB2304"/>
    <w:rsid w:val="00BB28E9"/>
    <w:rsid w:val="00BB2D13"/>
    <w:rsid w:val="00BB44D5"/>
    <w:rsid w:val="00BB453F"/>
    <w:rsid w:val="00BB48F5"/>
    <w:rsid w:val="00BB5329"/>
    <w:rsid w:val="00BB54BA"/>
    <w:rsid w:val="00BB5C74"/>
    <w:rsid w:val="00BB648D"/>
    <w:rsid w:val="00BB687C"/>
    <w:rsid w:val="00BB693F"/>
    <w:rsid w:val="00BB7766"/>
    <w:rsid w:val="00BC01DE"/>
    <w:rsid w:val="00BC0E37"/>
    <w:rsid w:val="00BC112F"/>
    <w:rsid w:val="00BC1ED1"/>
    <w:rsid w:val="00BC1FF4"/>
    <w:rsid w:val="00BC216C"/>
    <w:rsid w:val="00BC2175"/>
    <w:rsid w:val="00BC21B4"/>
    <w:rsid w:val="00BC2407"/>
    <w:rsid w:val="00BC36DA"/>
    <w:rsid w:val="00BC370F"/>
    <w:rsid w:val="00BC44C4"/>
    <w:rsid w:val="00BC4F10"/>
    <w:rsid w:val="00BC533E"/>
    <w:rsid w:val="00BC594D"/>
    <w:rsid w:val="00BC5C80"/>
    <w:rsid w:val="00BC61AF"/>
    <w:rsid w:val="00BC6298"/>
    <w:rsid w:val="00BC63AE"/>
    <w:rsid w:val="00BC665F"/>
    <w:rsid w:val="00BC666B"/>
    <w:rsid w:val="00BC7285"/>
    <w:rsid w:val="00BD00EB"/>
    <w:rsid w:val="00BD1BFF"/>
    <w:rsid w:val="00BD1FAF"/>
    <w:rsid w:val="00BD28E8"/>
    <w:rsid w:val="00BD3016"/>
    <w:rsid w:val="00BD31C9"/>
    <w:rsid w:val="00BD3891"/>
    <w:rsid w:val="00BD4088"/>
    <w:rsid w:val="00BD4BF3"/>
    <w:rsid w:val="00BD5B23"/>
    <w:rsid w:val="00BD6744"/>
    <w:rsid w:val="00BD6DD3"/>
    <w:rsid w:val="00BE01A3"/>
    <w:rsid w:val="00BE0220"/>
    <w:rsid w:val="00BE1485"/>
    <w:rsid w:val="00BE19E0"/>
    <w:rsid w:val="00BE1B77"/>
    <w:rsid w:val="00BE1C1A"/>
    <w:rsid w:val="00BE20DF"/>
    <w:rsid w:val="00BE2D73"/>
    <w:rsid w:val="00BE3029"/>
    <w:rsid w:val="00BE3107"/>
    <w:rsid w:val="00BE32BD"/>
    <w:rsid w:val="00BE41A0"/>
    <w:rsid w:val="00BE4FB3"/>
    <w:rsid w:val="00BE5082"/>
    <w:rsid w:val="00BE5118"/>
    <w:rsid w:val="00BE5E2A"/>
    <w:rsid w:val="00BE67D6"/>
    <w:rsid w:val="00BE6FA8"/>
    <w:rsid w:val="00BE7772"/>
    <w:rsid w:val="00BF072A"/>
    <w:rsid w:val="00BF146A"/>
    <w:rsid w:val="00BF1837"/>
    <w:rsid w:val="00BF243A"/>
    <w:rsid w:val="00BF264B"/>
    <w:rsid w:val="00BF2B1A"/>
    <w:rsid w:val="00BF30A1"/>
    <w:rsid w:val="00BF31B8"/>
    <w:rsid w:val="00BF3842"/>
    <w:rsid w:val="00BF3B18"/>
    <w:rsid w:val="00BF3DFC"/>
    <w:rsid w:val="00BF482E"/>
    <w:rsid w:val="00BF6046"/>
    <w:rsid w:val="00BF6647"/>
    <w:rsid w:val="00BF7AEA"/>
    <w:rsid w:val="00BF7BF7"/>
    <w:rsid w:val="00BF7D86"/>
    <w:rsid w:val="00BF7F98"/>
    <w:rsid w:val="00C00B3B"/>
    <w:rsid w:val="00C0106E"/>
    <w:rsid w:val="00C015F1"/>
    <w:rsid w:val="00C0192F"/>
    <w:rsid w:val="00C02B52"/>
    <w:rsid w:val="00C035E2"/>
    <w:rsid w:val="00C03D41"/>
    <w:rsid w:val="00C0475D"/>
    <w:rsid w:val="00C04816"/>
    <w:rsid w:val="00C06D8A"/>
    <w:rsid w:val="00C10D4E"/>
    <w:rsid w:val="00C10D89"/>
    <w:rsid w:val="00C110C4"/>
    <w:rsid w:val="00C11D04"/>
    <w:rsid w:val="00C12062"/>
    <w:rsid w:val="00C12736"/>
    <w:rsid w:val="00C127E9"/>
    <w:rsid w:val="00C1349C"/>
    <w:rsid w:val="00C136EB"/>
    <w:rsid w:val="00C1389D"/>
    <w:rsid w:val="00C13EBD"/>
    <w:rsid w:val="00C151A5"/>
    <w:rsid w:val="00C15231"/>
    <w:rsid w:val="00C15471"/>
    <w:rsid w:val="00C159D2"/>
    <w:rsid w:val="00C16FCC"/>
    <w:rsid w:val="00C1769B"/>
    <w:rsid w:val="00C1783A"/>
    <w:rsid w:val="00C20532"/>
    <w:rsid w:val="00C20A34"/>
    <w:rsid w:val="00C20D1C"/>
    <w:rsid w:val="00C2238D"/>
    <w:rsid w:val="00C22E3A"/>
    <w:rsid w:val="00C23A36"/>
    <w:rsid w:val="00C2589E"/>
    <w:rsid w:val="00C25CA7"/>
    <w:rsid w:val="00C25E79"/>
    <w:rsid w:val="00C25EBE"/>
    <w:rsid w:val="00C26C75"/>
    <w:rsid w:val="00C26E3E"/>
    <w:rsid w:val="00C2702E"/>
    <w:rsid w:val="00C272C7"/>
    <w:rsid w:val="00C2731C"/>
    <w:rsid w:val="00C30528"/>
    <w:rsid w:val="00C30A5C"/>
    <w:rsid w:val="00C31091"/>
    <w:rsid w:val="00C31B3A"/>
    <w:rsid w:val="00C32078"/>
    <w:rsid w:val="00C3210C"/>
    <w:rsid w:val="00C3288A"/>
    <w:rsid w:val="00C33021"/>
    <w:rsid w:val="00C33786"/>
    <w:rsid w:val="00C338DD"/>
    <w:rsid w:val="00C35729"/>
    <w:rsid w:val="00C362CB"/>
    <w:rsid w:val="00C3637B"/>
    <w:rsid w:val="00C368A3"/>
    <w:rsid w:val="00C37176"/>
    <w:rsid w:val="00C40803"/>
    <w:rsid w:val="00C40AFF"/>
    <w:rsid w:val="00C41743"/>
    <w:rsid w:val="00C41BB7"/>
    <w:rsid w:val="00C42005"/>
    <w:rsid w:val="00C43A94"/>
    <w:rsid w:val="00C43C3A"/>
    <w:rsid w:val="00C43C43"/>
    <w:rsid w:val="00C43CFD"/>
    <w:rsid w:val="00C442F2"/>
    <w:rsid w:val="00C44753"/>
    <w:rsid w:val="00C447FC"/>
    <w:rsid w:val="00C45647"/>
    <w:rsid w:val="00C45832"/>
    <w:rsid w:val="00C46A2B"/>
    <w:rsid w:val="00C46A3E"/>
    <w:rsid w:val="00C50091"/>
    <w:rsid w:val="00C508E2"/>
    <w:rsid w:val="00C50D5B"/>
    <w:rsid w:val="00C5148A"/>
    <w:rsid w:val="00C51758"/>
    <w:rsid w:val="00C518AE"/>
    <w:rsid w:val="00C51980"/>
    <w:rsid w:val="00C51B2A"/>
    <w:rsid w:val="00C5253C"/>
    <w:rsid w:val="00C53711"/>
    <w:rsid w:val="00C53A28"/>
    <w:rsid w:val="00C53C24"/>
    <w:rsid w:val="00C5428C"/>
    <w:rsid w:val="00C5490D"/>
    <w:rsid w:val="00C54922"/>
    <w:rsid w:val="00C553DC"/>
    <w:rsid w:val="00C55A6A"/>
    <w:rsid w:val="00C55B47"/>
    <w:rsid w:val="00C56549"/>
    <w:rsid w:val="00C568DB"/>
    <w:rsid w:val="00C56B61"/>
    <w:rsid w:val="00C56EA3"/>
    <w:rsid w:val="00C57DEB"/>
    <w:rsid w:val="00C606EF"/>
    <w:rsid w:val="00C60D92"/>
    <w:rsid w:val="00C615A9"/>
    <w:rsid w:val="00C622A7"/>
    <w:rsid w:val="00C6261B"/>
    <w:rsid w:val="00C62632"/>
    <w:rsid w:val="00C626CC"/>
    <w:rsid w:val="00C62C57"/>
    <w:rsid w:val="00C631BB"/>
    <w:rsid w:val="00C632BB"/>
    <w:rsid w:val="00C63B05"/>
    <w:rsid w:val="00C649BF"/>
    <w:rsid w:val="00C64EC2"/>
    <w:rsid w:val="00C66763"/>
    <w:rsid w:val="00C66CE2"/>
    <w:rsid w:val="00C66F45"/>
    <w:rsid w:val="00C6768E"/>
    <w:rsid w:val="00C6799D"/>
    <w:rsid w:val="00C71274"/>
    <w:rsid w:val="00C71579"/>
    <w:rsid w:val="00C71738"/>
    <w:rsid w:val="00C74810"/>
    <w:rsid w:val="00C75ADB"/>
    <w:rsid w:val="00C75F72"/>
    <w:rsid w:val="00C76DCA"/>
    <w:rsid w:val="00C770F4"/>
    <w:rsid w:val="00C775F2"/>
    <w:rsid w:val="00C77AF2"/>
    <w:rsid w:val="00C77E7E"/>
    <w:rsid w:val="00C8046B"/>
    <w:rsid w:val="00C8069C"/>
    <w:rsid w:val="00C809BA"/>
    <w:rsid w:val="00C80C8B"/>
    <w:rsid w:val="00C83261"/>
    <w:rsid w:val="00C845F0"/>
    <w:rsid w:val="00C84E03"/>
    <w:rsid w:val="00C855EA"/>
    <w:rsid w:val="00C86096"/>
    <w:rsid w:val="00C86CDA"/>
    <w:rsid w:val="00C86DFE"/>
    <w:rsid w:val="00C876D4"/>
    <w:rsid w:val="00C902F9"/>
    <w:rsid w:val="00C90E9B"/>
    <w:rsid w:val="00C910D3"/>
    <w:rsid w:val="00C91740"/>
    <w:rsid w:val="00C9211E"/>
    <w:rsid w:val="00C92BC3"/>
    <w:rsid w:val="00C936EB"/>
    <w:rsid w:val="00C93D5A"/>
    <w:rsid w:val="00C964DB"/>
    <w:rsid w:val="00C96B20"/>
    <w:rsid w:val="00C97F4E"/>
    <w:rsid w:val="00CA06BE"/>
    <w:rsid w:val="00CA09C4"/>
    <w:rsid w:val="00CA0CE8"/>
    <w:rsid w:val="00CA26C0"/>
    <w:rsid w:val="00CA4125"/>
    <w:rsid w:val="00CA585E"/>
    <w:rsid w:val="00CA5D86"/>
    <w:rsid w:val="00CA6B6E"/>
    <w:rsid w:val="00CA7489"/>
    <w:rsid w:val="00CA75CE"/>
    <w:rsid w:val="00CA7A63"/>
    <w:rsid w:val="00CB0217"/>
    <w:rsid w:val="00CB05F7"/>
    <w:rsid w:val="00CB0AD6"/>
    <w:rsid w:val="00CB11E3"/>
    <w:rsid w:val="00CB14AF"/>
    <w:rsid w:val="00CB2900"/>
    <w:rsid w:val="00CB3BF6"/>
    <w:rsid w:val="00CB42E2"/>
    <w:rsid w:val="00CB4BEA"/>
    <w:rsid w:val="00CB5475"/>
    <w:rsid w:val="00CB5D66"/>
    <w:rsid w:val="00CB618D"/>
    <w:rsid w:val="00CB6BF1"/>
    <w:rsid w:val="00CB7637"/>
    <w:rsid w:val="00CB769F"/>
    <w:rsid w:val="00CC0E7B"/>
    <w:rsid w:val="00CC160C"/>
    <w:rsid w:val="00CC1882"/>
    <w:rsid w:val="00CC1F37"/>
    <w:rsid w:val="00CC3395"/>
    <w:rsid w:val="00CC34C0"/>
    <w:rsid w:val="00CC34C9"/>
    <w:rsid w:val="00CC36CC"/>
    <w:rsid w:val="00CC36D1"/>
    <w:rsid w:val="00CC3C8A"/>
    <w:rsid w:val="00CC42B8"/>
    <w:rsid w:val="00CC4EE4"/>
    <w:rsid w:val="00CC5CB7"/>
    <w:rsid w:val="00CC69DD"/>
    <w:rsid w:val="00CC73E9"/>
    <w:rsid w:val="00CC7A59"/>
    <w:rsid w:val="00CD0D4B"/>
    <w:rsid w:val="00CD0EDB"/>
    <w:rsid w:val="00CD13D6"/>
    <w:rsid w:val="00CD14F2"/>
    <w:rsid w:val="00CD1703"/>
    <w:rsid w:val="00CD182C"/>
    <w:rsid w:val="00CD359A"/>
    <w:rsid w:val="00CD375D"/>
    <w:rsid w:val="00CD436D"/>
    <w:rsid w:val="00CD48B6"/>
    <w:rsid w:val="00CD4A4E"/>
    <w:rsid w:val="00CD4D2C"/>
    <w:rsid w:val="00CD6CAC"/>
    <w:rsid w:val="00CD72FA"/>
    <w:rsid w:val="00CE1739"/>
    <w:rsid w:val="00CE1D89"/>
    <w:rsid w:val="00CE2B4A"/>
    <w:rsid w:val="00CE2D38"/>
    <w:rsid w:val="00CE311F"/>
    <w:rsid w:val="00CE4019"/>
    <w:rsid w:val="00CE409E"/>
    <w:rsid w:val="00CE54A7"/>
    <w:rsid w:val="00CE590F"/>
    <w:rsid w:val="00CE5F9D"/>
    <w:rsid w:val="00CE6C4D"/>
    <w:rsid w:val="00CE6D1E"/>
    <w:rsid w:val="00CE7035"/>
    <w:rsid w:val="00CE772F"/>
    <w:rsid w:val="00CF05C0"/>
    <w:rsid w:val="00CF1301"/>
    <w:rsid w:val="00CF1B9C"/>
    <w:rsid w:val="00CF2524"/>
    <w:rsid w:val="00CF3E42"/>
    <w:rsid w:val="00CF54E9"/>
    <w:rsid w:val="00CF6087"/>
    <w:rsid w:val="00CF66D7"/>
    <w:rsid w:val="00CF7699"/>
    <w:rsid w:val="00D00190"/>
    <w:rsid w:val="00D00228"/>
    <w:rsid w:val="00D01836"/>
    <w:rsid w:val="00D01FEA"/>
    <w:rsid w:val="00D0200E"/>
    <w:rsid w:val="00D02366"/>
    <w:rsid w:val="00D028DB"/>
    <w:rsid w:val="00D0359F"/>
    <w:rsid w:val="00D039E0"/>
    <w:rsid w:val="00D042F4"/>
    <w:rsid w:val="00D04E6F"/>
    <w:rsid w:val="00D0541E"/>
    <w:rsid w:val="00D05DFD"/>
    <w:rsid w:val="00D066F4"/>
    <w:rsid w:val="00D0677C"/>
    <w:rsid w:val="00D073A3"/>
    <w:rsid w:val="00D108F6"/>
    <w:rsid w:val="00D109B0"/>
    <w:rsid w:val="00D10F7C"/>
    <w:rsid w:val="00D11164"/>
    <w:rsid w:val="00D11BC7"/>
    <w:rsid w:val="00D1223A"/>
    <w:rsid w:val="00D127D2"/>
    <w:rsid w:val="00D128B7"/>
    <w:rsid w:val="00D12B66"/>
    <w:rsid w:val="00D12D66"/>
    <w:rsid w:val="00D13AF1"/>
    <w:rsid w:val="00D13F00"/>
    <w:rsid w:val="00D14BFA"/>
    <w:rsid w:val="00D15B93"/>
    <w:rsid w:val="00D1616D"/>
    <w:rsid w:val="00D16610"/>
    <w:rsid w:val="00D171D8"/>
    <w:rsid w:val="00D17FC9"/>
    <w:rsid w:val="00D208DB"/>
    <w:rsid w:val="00D20C14"/>
    <w:rsid w:val="00D21E1B"/>
    <w:rsid w:val="00D22E7C"/>
    <w:rsid w:val="00D238DB"/>
    <w:rsid w:val="00D240C7"/>
    <w:rsid w:val="00D24814"/>
    <w:rsid w:val="00D24C55"/>
    <w:rsid w:val="00D24D48"/>
    <w:rsid w:val="00D25601"/>
    <w:rsid w:val="00D25ADE"/>
    <w:rsid w:val="00D26656"/>
    <w:rsid w:val="00D2665A"/>
    <w:rsid w:val="00D266A9"/>
    <w:rsid w:val="00D26E76"/>
    <w:rsid w:val="00D306C6"/>
    <w:rsid w:val="00D332E7"/>
    <w:rsid w:val="00D33505"/>
    <w:rsid w:val="00D33916"/>
    <w:rsid w:val="00D3435D"/>
    <w:rsid w:val="00D34B2B"/>
    <w:rsid w:val="00D34C4B"/>
    <w:rsid w:val="00D34D38"/>
    <w:rsid w:val="00D34D50"/>
    <w:rsid w:val="00D3534D"/>
    <w:rsid w:val="00D35602"/>
    <w:rsid w:val="00D36485"/>
    <w:rsid w:val="00D365DA"/>
    <w:rsid w:val="00D368BB"/>
    <w:rsid w:val="00D378D6"/>
    <w:rsid w:val="00D40463"/>
    <w:rsid w:val="00D41884"/>
    <w:rsid w:val="00D420A2"/>
    <w:rsid w:val="00D42994"/>
    <w:rsid w:val="00D42DE4"/>
    <w:rsid w:val="00D43E61"/>
    <w:rsid w:val="00D43F7C"/>
    <w:rsid w:val="00D44537"/>
    <w:rsid w:val="00D452C6"/>
    <w:rsid w:val="00D45DFD"/>
    <w:rsid w:val="00D463D7"/>
    <w:rsid w:val="00D46F86"/>
    <w:rsid w:val="00D47016"/>
    <w:rsid w:val="00D471A3"/>
    <w:rsid w:val="00D471B1"/>
    <w:rsid w:val="00D47844"/>
    <w:rsid w:val="00D47CED"/>
    <w:rsid w:val="00D50BC4"/>
    <w:rsid w:val="00D50D2E"/>
    <w:rsid w:val="00D515A2"/>
    <w:rsid w:val="00D5203C"/>
    <w:rsid w:val="00D52DA9"/>
    <w:rsid w:val="00D52E98"/>
    <w:rsid w:val="00D5503F"/>
    <w:rsid w:val="00D5522C"/>
    <w:rsid w:val="00D55940"/>
    <w:rsid w:val="00D562A7"/>
    <w:rsid w:val="00D56756"/>
    <w:rsid w:val="00D57792"/>
    <w:rsid w:val="00D601FE"/>
    <w:rsid w:val="00D60997"/>
    <w:rsid w:val="00D61BE8"/>
    <w:rsid w:val="00D620CE"/>
    <w:rsid w:val="00D62392"/>
    <w:rsid w:val="00D62AD3"/>
    <w:rsid w:val="00D62CEE"/>
    <w:rsid w:val="00D64602"/>
    <w:rsid w:val="00D646C0"/>
    <w:rsid w:val="00D6507E"/>
    <w:rsid w:val="00D65988"/>
    <w:rsid w:val="00D65E96"/>
    <w:rsid w:val="00D65EAC"/>
    <w:rsid w:val="00D6673C"/>
    <w:rsid w:val="00D66C0B"/>
    <w:rsid w:val="00D66C27"/>
    <w:rsid w:val="00D66EAA"/>
    <w:rsid w:val="00D6769C"/>
    <w:rsid w:val="00D67921"/>
    <w:rsid w:val="00D705B0"/>
    <w:rsid w:val="00D70EA1"/>
    <w:rsid w:val="00D71FDF"/>
    <w:rsid w:val="00D72038"/>
    <w:rsid w:val="00D73037"/>
    <w:rsid w:val="00D734BE"/>
    <w:rsid w:val="00D737B3"/>
    <w:rsid w:val="00D73F6B"/>
    <w:rsid w:val="00D7508E"/>
    <w:rsid w:val="00D75EC1"/>
    <w:rsid w:val="00D8009E"/>
    <w:rsid w:val="00D80266"/>
    <w:rsid w:val="00D8030B"/>
    <w:rsid w:val="00D81E39"/>
    <w:rsid w:val="00D848C7"/>
    <w:rsid w:val="00D84B3B"/>
    <w:rsid w:val="00D857A2"/>
    <w:rsid w:val="00D85C55"/>
    <w:rsid w:val="00D8657C"/>
    <w:rsid w:val="00D87098"/>
    <w:rsid w:val="00D900E5"/>
    <w:rsid w:val="00D90960"/>
    <w:rsid w:val="00D91110"/>
    <w:rsid w:val="00D9167D"/>
    <w:rsid w:val="00D917F0"/>
    <w:rsid w:val="00D918C2"/>
    <w:rsid w:val="00D92957"/>
    <w:rsid w:val="00D92985"/>
    <w:rsid w:val="00D931DF"/>
    <w:rsid w:val="00D94032"/>
    <w:rsid w:val="00D94C23"/>
    <w:rsid w:val="00D95DF8"/>
    <w:rsid w:val="00D97319"/>
    <w:rsid w:val="00D97CF3"/>
    <w:rsid w:val="00DA009B"/>
    <w:rsid w:val="00DA15CA"/>
    <w:rsid w:val="00DA1EAF"/>
    <w:rsid w:val="00DA39C4"/>
    <w:rsid w:val="00DA42BE"/>
    <w:rsid w:val="00DA56A2"/>
    <w:rsid w:val="00DA56E7"/>
    <w:rsid w:val="00DA5CDC"/>
    <w:rsid w:val="00DA72C5"/>
    <w:rsid w:val="00DA7F46"/>
    <w:rsid w:val="00DB1C7E"/>
    <w:rsid w:val="00DB1D31"/>
    <w:rsid w:val="00DB28F8"/>
    <w:rsid w:val="00DB36F0"/>
    <w:rsid w:val="00DB5A61"/>
    <w:rsid w:val="00DB6884"/>
    <w:rsid w:val="00DB6BCC"/>
    <w:rsid w:val="00DB70D4"/>
    <w:rsid w:val="00DB7398"/>
    <w:rsid w:val="00DB78F4"/>
    <w:rsid w:val="00DB7EE0"/>
    <w:rsid w:val="00DC0964"/>
    <w:rsid w:val="00DC2C7D"/>
    <w:rsid w:val="00DC457B"/>
    <w:rsid w:val="00DC52F7"/>
    <w:rsid w:val="00DC55AA"/>
    <w:rsid w:val="00DC65C3"/>
    <w:rsid w:val="00DC6A49"/>
    <w:rsid w:val="00DC6BCA"/>
    <w:rsid w:val="00DC6E6E"/>
    <w:rsid w:val="00DC73B0"/>
    <w:rsid w:val="00DC7544"/>
    <w:rsid w:val="00DC7604"/>
    <w:rsid w:val="00DC7B80"/>
    <w:rsid w:val="00DD0110"/>
    <w:rsid w:val="00DD0D92"/>
    <w:rsid w:val="00DD0F9B"/>
    <w:rsid w:val="00DD11D6"/>
    <w:rsid w:val="00DD15EB"/>
    <w:rsid w:val="00DD2F28"/>
    <w:rsid w:val="00DD3231"/>
    <w:rsid w:val="00DD38B3"/>
    <w:rsid w:val="00DD3DE0"/>
    <w:rsid w:val="00DD3E4A"/>
    <w:rsid w:val="00DD4259"/>
    <w:rsid w:val="00DD477A"/>
    <w:rsid w:val="00DD4ABC"/>
    <w:rsid w:val="00DD62E7"/>
    <w:rsid w:val="00DD690B"/>
    <w:rsid w:val="00DD6C75"/>
    <w:rsid w:val="00DD6E94"/>
    <w:rsid w:val="00DD70D0"/>
    <w:rsid w:val="00DD7822"/>
    <w:rsid w:val="00DE04C2"/>
    <w:rsid w:val="00DE0F35"/>
    <w:rsid w:val="00DE1BBD"/>
    <w:rsid w:val="00DE1E6E"/>
    <w:rsid w:val="00DE24FD"/>
    <w:rsid w:val="00DE2C63"/>
    <w:rsid w:val="00DE33C5"/>
    <w:rsid w:val="00DE4758"/>
    <w:rsid w:val="00DE4976"/>
    <w:rsid w:val="00DE5B52"/>
    <w:rsid w:val="00DE64E1"/>
    <w:rsid w:val="00DE7004"/>
    <w:rsid w:val="00DE712C"/>
    <w:rsid w:val="00DE75C2"/>
    <w:rsid w:val="00DE7656"/>
    <w:rsid w:val="00DF16A3"/>
    <w:rsid w:val="00DF17DC"/>
    <w:rsid w:val="00DF1B63"/>
    <w:rsid w:val="00DF1C56"/>
    <w:rsid w:val="00DF2004"/>
    <w:rsid w:val="00DF20C8"/>
    <w:rsid w:val="00DF255E"/>
    <w:rsid w:val="00DF26BB"/>
    <w:rsid w:val="00DF2DCF"/>
    <w:rsid w:val="00DF31BF"/>
    <w:rsid w:val="00DF31FF"/>
    <w:rsid w:val="00DF4E55"/>
    <w:rsid w:val="00DF6F25"/>
    <w:rsid w:val="00DF728E"/>
    <w:rsid w:val="00DF7BF6"/>
    <w:rsid w:val="00E0004C"/>
    <w:rsid w:val="00E01B3B"/>
    <w:rsid w:val="00E021B8"/>
    <w:rsid w:val="00E02CFD"/>
    <w:rsid w:val="00E03DB4"/>
    <w:rsid w:val="00E046C2"/>
    <w:rsid w:val="00E04CC8"/>
    <w:rsid w:val="00E04D1D"/>
    <w:rsid w:val="00E0606D"/>
    <w:rsid w:val="00E068B4"/>
    <w:rsid w:val="00E06C17"/>
    <w:rsid w:val="00E06FFB"/>
    <w:rsid w:val="00E07ED9"/>
    <w:rsid w:val="00E100D9"/>
    <w:rsid w:val="00E101A7"/>
    <w:rsid w:val="00E108FD"/>
    <w:rsid w:val="00E109E5"/>
    <w:rsid w:val="00E11278"/>
    <w:rsid w:val="00E1281B"/>
    <w:rsid w:val="00E12AA8"/>
    <w:rsid w:val="00E13193"/>
    <w:rsid w:val="00E13E39"/>
    <w:rsid w:val="00E13E8F"/>
    <w:rsid w:val="00E149B2"/>
    <w:rsid w:val="00E1649A"/>
    <w:rsid w:val="00E171E4"/>
    <w:rsid w:val="00E17E86"/>
    <w:rsid w:val="00E20ED0"/>
    <w:rsid w:val="00E21286"/>
    <w:rsid w:val="00E22484"/>
    <w:rsid w:val="00E228F8"/>
    <w:rsid w:val="00E2297E"/>
    <w:rsid w:val="00E22ADD"/>
    <w:rsid w:val="00E24B7B"/>
    <w:rsid w:val="00E25DB3"/>
    <w:rsid w:val="00E25E84"/>
    <w:rsid w:val="00E2759E"/>
    <w:rsid w:val="00E27A1A"/>
    <w:rsid w:val="00E3072A"/>
    <w:rsid w:val="00E30C27"/>
    <w:rsid w:val="00E30C4F"/>
    <w:rsid w:val="00E3369E"/>
    <w:rsid w:val="00E3397F"/>
    <w:rsid w:val="00E363B3"/>
    <w:rsid w:val="00E40668"/>
    <w:rsid w:val="00E40967"/>
    <w:rsid w:val="00E41B2A"/>
    <w:rsid w:val="00E4245E"/>
    <w:rsid w:val="00E437E2"/>
    <w:rsid w:val="00E43940"/>
    <w:rsid w:val="00E43AD5"/>
    <w:rsid w:val="00E43F43"/>
    <w:rsid w:val="00E45F17"/>
    <w:rsid w:val="00E46688"/>
    <w:rsid w:val="00E46B13"/>
    <w:rsid w:val="00E46EFC"/>
    <w:rsid w:val="00E47F06"/>
    <w:rsid w:val="00E514E9"/>
    <w:rsid w:val="00E519A6"/>
    <w:rsid w:val="00E520DC"/>
    <w:rsid w:val="00E526C0"/>
    <w:rsid w:val="00E52808"/>
    <w:rsid w:val="00E52FC4"/>
    <w:rsid w:val="00E53A48"/>
    <w:rsid w:val="00E53AA5"/>
    <w:rsid w:val="00E53BD8"/>
    <w:rsid w:val="00E570AA"/>
    <w:rsid w:val="00E570CC"/>
    <w:rsid w:val="00E57714"/>
    <w:rsid w:val="00E60354"/>
    <w:rsid w:val="00E60650"/>
    <w:rsid w:val="00E60CCA"/>
    <w:rsid w:val="00E616B0"/>
    <w:rsid w:val="00E61B16"/>
    <w:rsid w:val="00E627EE"/>
    <w:rsid w:val="00E62D7A"/>
    <w:rsid w:val="00E638F2"/>
    <w:rsid w:val="00E64047"/>
    <w:rsid w:val="00E64804"/>
    <w:rsid w:val="00E651B7"/>
    <w:rsid w:val="00E6573D"/>
    <w:rsid w:val="00E65DD5"/>
    <w:rsid w:val="00E67A3F"/>
    <w:rsid w:val="00E67BA8"/>
    <w:rsid w:val="00E67D49"/>
    <w:rsid w:val="00E7030F"/>
    <w:rsid w:val="00E70DEF"/>
    <w:rsid w:val="00E7145E"/>
    <w:rsid w:val="00E71F86"/>
    <w:rsid w:val="00E7240D"/>
    <w:rsid w:val="00E725D2"/>
    <w:rsid w:val="00E74A7B"/>
    <w:rsid w:val="00E74B4C"/>
    <w:rsid w:val="00E74B9B"/>
    <w:rsid w:val="00E754FD"/>
    <w:rsid w:val="00E759BC"/>
    <w:rsid w:val="00E75D27"/>
    <w:rsid w:val="00E7674E"/>
    <w:rsid w:val="00E76C86"/>
    <w:rsid w:val="00E80719"/>
    <w:rsid w:val="00E810C9"/>
    <w:rsid w:val="00E81795"/>
    <w:rsid w:val="00E821E5"/>
    <w:rsid w:val="00E83278"/>
    <w:rsid w:val="00E833DA"/>
    <w:rsid w:val="00E83B7B"/>
    <w:rsid w:val="00E8455A"/>
    <w:rsid w:val="00E86B32"/>
    <w:rsid w:val="00E86DAE"/>
    <w:rsid w:val="00E87D4C"/>
    <w:rsid w:val="00E90058"/>
    <w:rsid w:val="00E906BC"/>
    <w:rsid w:val="00E910BA"/>
    <w:rsid w:val="00E9158E"/>
    <w:rsid w:val="00E91AAC"/>
    <w:rsid w:val="00E91CDE"/>
    <w:rsid w:val="00E92056"/>
    <w:rsid w:val="00E93643"/>
    <w:rsid w:val="00E93E48"/>
    <w:rsid w:val="00E942A4"/>
    <w:rsid w:val="00E94E9D"/>
    <w:rsid w:val="00E95331"/>
    <w:rsid w:val="00E95356"/>
    <w:rsid w:val="00E953F9"/>
    <w:rsid w:val="00E95BDD"/>
    <w:rsid w:val="00E95C62"/>
    <w:rsid w:val="00E97088"/>
    <w:rsid w:val="00E97320"/>
    <w:rsid w:val="00E97D7D"/>
    <w:rsid w:val="00EA06E8"/>
    <w:rsid w:val="00EA214B"/>
    <w:rsid w:val="00EA2471"/>
    <w:rsid w:val="00EA3B59"/>
    <w:rsid w:val="00EA4345"/>
    <w:rsid w:val="00EA48F1"/>
    <w:rsid w:val="00EA4FE6"/>
    <w:rsid w:val="00EA5501"/>
    <w:rsid w:val="00EA5B4A"/>
    <w:rsid w:val="00EA7F98"/>
    <w:rsid w:val="00EB0769"/>
    <w:rsid w:val="00EB193F"/>
    <w:rsid w:val="00EB1A0E"/>
    <w:rsid w:val="00EB1AF5"/>
    <w:rsid w:val="00EB2031"/>
    <w:rsid w:val="00EB28D5"/>
    <w:rsid w:val="00EB2C0D"/>
    <w:rsid w:val="00EB349B"/>
    <w:rsid w:val="00EB3A10"/>
    <w:rsid w:val="00EB5E0E"/>
    <w:rsid w:val="00EB7505"/>
    <w:rsid w:val="00EB7ADF"/>
    <w:rsid w:val="00EC071E"/>
    <w:rsid w:val="00EC0866"/>
    <w:rsid w:val="00EC1455"/>
    <w:rsid w:val="00EC146D"/>
    <w:rsid w:val="00EC1784"/>
    <w:rsid w:val="00EC2DBB"/>
    <w:rsid w:val="00EC32F6"/>
    <w:rsid w:val="00EC370E"/>
    <w:rsid w:val="00EC474D"/>
    <w:rsid w:val="00EC6169"/>
    <w:rsid w:val="00EC65A1"/>
    <w:rsid w:val="00EC6CD1"/>
    <w:rsid w:val="00EC6FC2"/>
    <w:rsid w:val="00EC7159"/>
    <w:rsid w:val="00EC7194"/>
    <w:rsid w:val="00EC7707"/>
    <w:rsid w:val="00ED02F8"/>
    <w:rsid w:val="00ED0A49"/>
    <w:rsid w:val="00ED0CF8"/>
    <w:rsid w:val="00ED1278"/>
    <w:rsid w:val="00ED168D"/>
    <w:rsid w:val="00ED1967"/>
    <w:rsid w:val="00ED1A96"/>
    <w:rsid w:val="00ED2164"/>
    <w:rsid w:val="00ED2778"/>
    <w:rsid w:val="00ED35E7"/>
    <w:rsid w:val="00ED4313"/>
    <w:rsid w:val="00ED4C33"/>
    <w:rsid w:val="00ED4F52"/>
    <w:rsid w:val="00ED5EE8"/>
    <w:rsid w:val="00ED76F0"/>
    <w:rsid w:val="00ED7AC4"/>
    <w:rsid w:val="00ED7BF9"/>
    <w:rsid w:val="00ED7F66"/>
    <w:rsid w:val="00EE025D"/>
    <w:rsid w:val="00EE1215"/>
    <w:rsid w:val="00EE142C"/>
    <w:rsid w:val="00EE1711"/>
    <w:rsid w:val="00EE2134"/>
    <w:rsid w:val="00EE215A"/>
    <w:rsid w:val="00EE3145"/>
    <w:rsid w:val="00EE33DD"/>
    <w:rsid w:val="00EE38A8"/>
    <w:rsid w:val="00EE4488"/>
    <w:rsid w:val="00EE4539"/>
    <w:rsid w:val="00EE5806"/>
    <w:rsid w:val="00EE5F65"/>
    <w:rsid w:val="00EE6691"/>
    <w:rsid w:val="00EE6E24"/>
    <w:rsid w:val="00EF0E0C"/>
    <w:rsid w:val="00EF0F19"/>
    <w:rsid w:val="00EF0FD3"/>
    <w:rsid w:val="00EF1088"/>
    <w:rsid w:val="00EF1250"/>
    <w:rsid w:val="00EF1437"/>
    <w:rsid w:val="00EF16B0"/>
    <w:rsid w:val="00EF2086"/>
    <w:rsid w:val="00EF22FA"/>
    <w:rsid w:val="00EF2426"/>
    <w:rsid w:val="00EF4C79"/>
    <w:rsid w:val="00EF5251"/>
    <w:rsid w:val="00EF5A28"/>
    <w:rsid w:val="00EF5A64"/>
    <w:rsid w:val="00EF5C1B"/>
    <w:rsid w:val="00F002AF"/>
    <w:rsid w:val="00F0048D"/>
    <w:rsid w:val="00F006E2"/>
    <w:rsid w:val="00F021CB"/>
    <w:rsid w:val="00F02F6A"/>
    <w:rsid w:val="00F03E22"/>
    <w:rsid w:val="00F04141"/>
    <w:rsid w:val="00F049AA"/>
    <w:rsid w:val="00F04FE7"/>
    <w:rsid w:val="00F06279"/>
    <w:rsid w:val="00F06A3E"/>
    <w:rsid w:val="00F06C76"/>
    <w:rsid w:val="00F07735"/>
    <w:rsid w:val="00F07C18"/>
    <w:rsid w:val="00F10259"/>
    <w:rsid w:val="00F10B87"/>
    <w:rsid w:val="00F119CB"/>
    <w:rsid w:val="00F128B9"/>
    <w:rsid w:val="00F12AAD"/>
    <w:rsid w:val="00F12E3F"/>
    <w:rsid w:val="00F13A3B"/>
    <w:rsid w:val="00F14D2C"/>
    <w:rsid w:val="00F14E77"/>
    <w:rsid w:val="00F162F0"/>
    <w:rsid w:val="00F168D0"/>
    <w:rsid w:val="00F1695D"/>
    <w:rsid w:val="00F16BFF"/>
    <w:rsid w:val="00F1793E"/>
    <w:rsid w:val="00F204D1"/>
    <w:rsid w:val="00F20752"/>
    <w:rsid w:val="00F212E3"/>
    <w:rsid w:val="00F213F1"/>
    <w:rsid w:val="00F214E0"/>
    <w:rsid w:val="00F223CC"/>
    <w:rsid w:val="00F22880"/>
    <w:rsid w:val="00F22D43"/>
    <w:rsid w:val="00F23158"/>
    <w:rsid w:val="00F237F1"/>
    <w:rsid w:val="00F23F55"/>
    <w:rsid w:val="00F24A18"/>
    <w:rsid w:val="00F251D1"/>
    <w:rsid w:val="00F255A6"/>
    <w:rsid w:val="00F2596C"/>
    <w:rsid w:val="00F25C5A"/>
    <w:rsid w:val="00F274BB"/>
    <w:rsid w:val="00F27BD5"/>
    <w:rsid w:val="00F308ED"/>
    <w:rsid w:val="00F31342"/>
    <w:rsid w:val="00F31397"/>
    <w:rsid w:val="00F318F7"/>
    <w:rsid w:val="00F33B3F"/>
    <w:rsid w:val="00F33D54"/>
    <w:rsid w:val="00F34EE7"/>
    <w:rsid w:val="00F35020"/>
    <w:rsid w:val="00F354EA"/>
    <w:rsid w:val="00F36035"/>
    <w:rsid w:val="00F3631B"/>
    <w:rsid w:val="00F36A56"/>
    <w:rsid w:val="00F37CDA"/>
    <w:rsid w:val="00F37E8C"/>
    <w:rsid w:val="00F401E5"/>
    <w:rsid w:val="00F40870"/>
    <w:rsid w:val="00F413DD"/>
    <w:rsid w:val="00F430F0"/>
    <w:rsid w:val="00F4333C"/>
    <w:rsid w:val="00F43800"/>
    <w:rsid w:val="00F43AEB"/>
    <w:rsid w:val="00F43E2B"/>
    <w:rsid w:val="00F45D1A"/>
    <w:rsid w:val="00F4623A"/>
    <w:rsid w:val="00F463D0"/>
    <w:rsid w:val="00F46602"/>
    <w:rsid w:val="00F5030B"/>
    <w:rsid w:val="00F50D3C"/>
    <w:rsid w:val="00F51080"/>
    <w:rsid w:val="00F5167F"/>
    <w:rsid w:val="00F523B3"/>
    <w:rsid w:val="00F52E34"/>
    <w:rsid w:val="00F53496"/>
    <w:rsid w:val="00F53E5A"/>
    <w:rsid w:val="00F53FEE"/>
    <w:rsid w:val="00F5497F"/>
    <w:rsid w:val="00F549AE"/>
    <w:rsid w:val="00F54FE1"/>
    <w:rsid w:val="00F5502B"/>
    <w:rsid w:val="00F550AF"/>
    <w:rsid w:val="00F550F7"/>
    <w:rsid w:val="00F55589"/>
    <w:rsid w:val="00F55693"/>
    <w:rsid w:val="00F563DD"/>
    <w:rsid w:val="00F5663D"/>
    <w:rsid w:val="00F56884"/>
    <w:rsid w:val="00F56D0D"/>
    <w:rsid w:val="00F573E4"/>
    <w:rsid w:val="00F5778F"/>
    <w:rsid w:val="00F60BA7"/>
    <w:rsid w:val="00F61360"/>
    <w:rsid w:val="00F616F0"/>
    <w:rsid w:val="00F6288F"/>
    <w:rsid w:val="00F63E90"/>
    <w:rsid w:val="00F64160"/>
    <w:rsid w:val="00F644B9"/>
    <w:rsid w:val="00F6548D"/>
    <w:rsid w:val="00F660B3"/>
    <w:rsid w:val="00F6704F"/>
    <w:rsid w:val="00F67143"/>
    <w:rsid w:val="00F676FF"/>
    <w:rsid w:val="00F6793E"/>
    <w:rsid w:val="00F67982"/>
    <w:rsid w:val="00F70357"/>
    <w:rsid w:val="00F704B7"/>
    <w:rsid w:val="00F705F9"/>
    <w:rsid w:val="00F717BC"/>
    <w:rsid w:val="00F71AF4"/>
    <w:rsid w:val="00F72636"/>
    <w:rsid w:val="00F72DAA"/>
    <w:rsid w:val="00F73D76"/>
    <w:rsid w:val="00F73E3F"/>
    <w:rsid w:val="00F73EDD"/>
    <w:rsid w:val="00F746CD"/>
    <w:rsid w:val="00F75BF0"/>
    <w:rsid w:val="00F7741A"/>
    <w:rsid w:val="00F80BBD"/>
    <w:rsid w:val="00F8196B"/>
    <w:rsid w:val="00F822C3"/>
    <w:rsid w:val="00F825FC"/>
    <w:rsid w:val="00F82798"/>
    <w:rsid w:val="00F82ADC"/>
    <w:rsid w:val="00F82C1A"/>
    <w:rsid w:val="00F82F4D"/>
    <w:rsid w:val="00F83505"/>
    <w:rsid w:val="00F8414A"/>
    <w:rsid w:val="00F846A1"/>
    <w:rsid w:val="00F8470D"/>
    <w:rsid w:val="00F857A6"/>
    <w:rsid w:val="00F8790F"/>
    <w:rsid w:val="00F927A2"/>
    <w:rsid w:val="00F931E0"/>
    <w:rsid w:val="00F93433"/>
    <w:rsid w:val="00F94094"/>
    <w:rsid w:val="00F942B1"/>
    <w:rsid w:val="00F94611"/>
    <w:rsid w:val="00F94FCB"/>
    <w:rsid w:val="00F95D71"/>
    <w:rsid w:val="00F96338"/>
    <w:rsid w:val="00F96E7A"/>
    <w:rsid w:val="00F970D6"/>
    <w:rsid w:val="00F97D04"/>
    <w:rsid w:val="00FA003B"/>
    <w:rsid w:val="00FA02FD"/>
    <w:rsid w:val="00FA0525"/>
    <w:rsid w:val="00FA1912"/>
    <w:rsid w:val="00FA1957"/>
    <w:rsid w:val="00FA23E2"/>
    <w:rsid w:val="00FA2F3C"/>
    <w:rsid w:val="00FA41AB"/>
    <w:rsid w:val="00FA46F5"/>
    <w:rsid w:val="00FA49D4"/>
    <w:rsid w:val="00FA4EA1"/>
    <w:rsid w:val="00FA587E"/>
    <w:rsid w:val="00FA58A8"/>
    <w:rsid w:val="00FA5AB5"/>
    <w:rsid w:val="00FA5DE8"/>
    <w:rsid w:val="00FA6A49"/>
    <w:rsid w:val="00FA6EB4"/>
    <w:rsid w:val="00FA6F36"/>
    <w:rsid w:val="00FA75FD"/>
    <w:rsid w:val="00FA7C6E"/>
    <w:rsid w:val="00FB0629"/>
    <w:rsid w:val="00FB198F"/>
    <w:rsid w:val="00FB1C0A"/>
    <w:rsid w:val="00FB33FF"/>
    <w:rsid w:val="00FB399A"/>
    <w:rsid w:val="00FB44B5"/>
    <w:rsid w:val="00FB4BFC"/>
    <w:rsid w:val="00FB54E7"/>
    <w:rsid w:val="00FB56D9"/>
    <w:rsid w:val="00FB59D6"/>
    <w:rsid w:val="00FB6850"/>
    <w:rsid w:val="00FB7245"/>
    <w:rsid w:val="00FB7ACA"/>
    <w:rsid w:val="00FC0168"/>
    <w:rsid w:val="00FC03C8"/>
    <w:rsid w:val="00FC1EA3"/>
    <w:rsid w:val="00FC1F9A"/>
    <w:rsid w:val="00FC204B"/>
    <w:rsid w:val="00FC2E1E"/>
    <w:rsid w:val="00FC3549"/>
    <w:rsid w:val="00FC36A3"/>
    <w:rsid w:val="00FC396A"/>
    <w:rsid w:val="00FC3D51"/>
    <w:rsid w:val="00FC41A8"/>
    <w:rsid w:val="00FC4D01"/>
    <w:rsid w:val="00FC545D"/>
    <w:rsid w:val="00FC5795"/>
    <w:rsid w:val="00FC67A5"/>
    <w:rsid w:val="00FC6E87"/>
    <w:rsid w:val="00FC713A"/>
    <w:rsid w:val="00FC72E6"/>
    <w:rsid w:val="00FC7D3A"/>
    <w:rsid w:val="00FD1C4B"/>
    <w:rsid w:val="00FD22FA"/>
    <w:rsid w:val="00FD2662"/>
    <w:rsid w:val="00FD2F78"/>
    <w:rsid w:val="00FD3D8E"/>
    <w:rsid w:val="00FD45B6"/>
    <w:rsid w:val="00FD46F0"/>
    <w:rsid w:val="00FD4E67"/>
    <w:rsid w:val="00FD52C3"/>
    <w:rsid w:val="00FD5B38"/>
    <w:rsid w:val="00FD65B6"/>
    <w:rsid w:val="00FD710D"/>
    <w:rsid w:val="00FD7374"/>
    <w:rsid w:val="00FE0B44"/>
    <w:rsid w:val="00FE1D5F"/>
    <w:rsid w:val="00FE2F2C"/>
    <w:rsid w:val="00FE312E"/>
    <w:rsid w:val="00FE34EC"/>
    <w:rsid w:val="00FE3572"/>
    <w:rsid w:val="00FE3774"/>
    <w:rsid w:val="00FE4E83"/>
    <w:rsid w:val="00FE51CA"/>
    <w:rsid w:val="00FE607B"/>
    <w:rsid w:val="00FE6944"/>
    <w:rsid w:val="00FE7384"/>
    <w:rsid w:val="00FE7545"/>
    <w:rsid w:val="00FE75FC"/>
    <w:rsid w:val="00FE769E"/>
    <w:rsid w:val="00FE76EE"/>
    <w:rsid w:val="00FF1DE0"/>
    <w:rsid w:val="00FF21AA"/>
    <w:rsid w:val="00FF3305"/>
    <w:rsid w:val="00FF3A09"/>
    <w:rsid w:val="00FF3A9C"/>
    <w:rsid w:val="00FF48A3"/>
    <w:rsid w:val="00FF573E"/>
    <w:rsid w:val="00FF5FAA"/>
    <w:rsid w:val="00FF71C5"/>
    <w:rsid w:val="00FF7511"/>
    <w:rsid w:val="00FF7D97"/>
    <w:rsid w:val="0260659D"/>
    <w:rsid w:val="05241976"/>
    <w:rsid w:val="0A596291"/>
    <w:rsid w:val="15E74EA3"/>
    <w:rsid w:val="168E1FFE"/>
    <w:rsid w:val="17AE1BFB"/>
    <w:rsid w:val="18028372"/>
    <w:rsid w:val="1E2E7762"/>
    <w:rsid w:val="1E432EE2"/>
    <w:rsid w:val="1E7912D7"/>
    <w:rsid w:val="1FFFC8E8"/>
    <w:rsid w:val="22F455A3"/>
    <w:rsid w:val="2F105EB7"/>
    <w:rsid w:val="30B273E7"/>
    <w:rsid w:val="350A3065"/>
    <w:rsid w:val="36B417CA"/>
    <w:rsid w:val="370905A4"/>
    <w:rsid w:val="3E5F2EAE"/>
    <w:rsid w:val="3F7F8D24"/>
    <w:rsid w:val="405E7F9B"/>
    <w:rsid w:val="420B7A0F"/>
    <w:rsid w:val="458E2D89"/>
    <w:rsid w:val="4CBF412D"/>
    <w:rsid w:val="4F226AB9"/>
    <w:rsid w:val="516B2380"/>
    <w:rsid w:val="52BC0FFB"/>
    <w:rsid w:val="53857D0E"/>
    <w:rsid w:val="541657D9"/>
    <w:rsid w:val="549069C8"/>
    <w:rsid w:val="564458CB"/>
    <w:rsid w:val="56831985"/>
    <w:rsid w:val="5B43634D"/>
    <w:rsid w:val="5DA16738"/>
    <w:rsid w:val="5DEDCCAF"/>
    <w:rsid w:val="60B85282"/>
    <w:rsid w:val="6D3C87DA"/>
    <w:rsid w:val="6E5740CB"/>
    <w:rsid w:val="73FD7D39"/>
    <w:rsid w:val="77E110F7"/>
    <w:rsid w:val="77FF8126"/>
    <w:rsid w:val="7CFFFA94"/>
    <w:rsid w:val="7DA008BB"/>
    <w:rsid w:val="7DA8556F"/>
    <w:rsid w:val="7F7FF9C6"/>
    <w:rsid w:val="7FCEDB5B"/>
    <w:rsid w:val="89B72D66"/>
    <w:rsid w:val="B6FF5B30"/>
    <w:rsid w:val="BF23B603"/>
    <w:rsid w:val="BFFDC0EF"/>
    <w:rsid w:val="BFFF11A2"/>
    <w:rsid w:val="EE5F9F0A"/>
    <w:rsid w:val="FCBBA27D"/>
    <w:rsid w:val="FCFFFC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1" w:semiHidden="0" w:name="heading 2"/>
    <w:lsdException w:qFormat="1" w:uiPriority="1"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jc w:val="both"/>
    </w:pPr>
    <w:rPr>
      <w:rFonts w:ascii="思源黑体 CN Regular" w:hAnsi="思源黑体 CN Regular" w:eastAsia="思源黑体 CN Regular" w:cstheme="minorBidi"/>
      <w:kern w:val="2"/>
      <w:szCs w:val="22"/>
      <w:lang w:val="en-US" w:eastAsia="zh-CN" w:bidi="ar-SA"/>
    </w:rPr>
  </w:style>
  <w:style w:type="paragraph" w:styleId="2">
    <w:name w:val="heading 1"/>
    <w:basedOn w:val="1"/>
    <w:next w:val="1"/>
    <w:link w:val="32"/>
    <w:qFormat/>
    <w:uiPriority w:val="0"/>
    <w:pPr>
      <w:keepNext/>
      <w:keepLines/>
      <w:spacing w:before="340" w:after="330" w:line="578" w:lineRule="auto"/>
      <w:outlineLvl w:val="0"/>
    </w:pPr>
    <w:rPr>
      <w:rFonts w:eastAsia="微软雅黑"/>
      <w:b/>
      <w:bCs/>
      <w:color w:val="F0463C"/>
      <w:kern w:val="44"/>
      <w:sz w:val="44"/>
      <w:szCs w:val="44"/>
    </w:rPr>
  </w:style>
  <w:style w:type="paragraph" w:styleId="3">
    <w:name w:val="heading 2"/>
    <w:basedOn w:val="1"/>
    <w:next w:val="1"/>
    <w:link w:val="45"/>
    <w:unhideWhenUsed/>
    <w:qFormat/>
    <w:uiPriority w:val="1"/>
    <w:pPr>
      <w:keepNext/>
      <w:keepLines/>
      <w:spacing w:before="260" w:after="260" w:line="416" w:lineRule="auto"/>
      <w:outlineLvl w:val="1"/>
    </w:pPr>
    <w:rPr>
      <w:rFonts w:asciiTheme="majorHAnsi" w:hAnsiTheme="majorHAnsi" w:eastAsiaTheme="majorEastAsia" w:cstheme="majorBidi"/>
      <w:b/>
      <w:bCs/>
      <w:color w:val="F0463C"/>
      <w:sz w:val="32"/>
      <w:szCs w:val="32"/>
    </w:rPr>
  </w:style>
  <w:style w:type="paragraph" w:styleId="4">
    <w:name w:val="heading 3"/>
    <w:basedOn w:val="1"/>
    <w:next w:val="1"/>
    <w:link w:val="66"/>
    <w:unhideWhenUsed/>
    <w:qFormat/>
    <w:uiPriority w:val="1"/>
    <w:pPr>
      <w:keepNext/>
      <w:keepLines/>
      <w:spacing w:before="40"/>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next w:val="1"/>
    <w:link w:val="73"/>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67"/>
    <w:unhideWhenUsed/>
    <w:qFormat/>
    <w:uiPriority w:val="0"/>
    <w:pPr>
      <w:keepNext/>
      <w:keepLines/>
      <w:spacing w:before="40"/>
      <w:outlineLvl w:val="4"/>
    </w:pPr>
    <w:rPr>
      <w:rFonts w:asciiTheme="majorHAnsi" w:hAnsiTheme="majorHAnsi" w:eastAsiaTheme="majorEastAsia" w:cstheme="majorBidi"/>
      <w:color w:val="2E75B6" w:themeColor="accent1" w:themeShade="BF"/>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61"/>
    <w:qFormat/>
    <w:uiPriority w:val="0"/>
    <w:pPr>
      <w:jc w:val="left"/>
    </w:pPr>
  </w:style>
  <w:style w:type="paragraph" w:styleId="8">
    <w:name w:val="Body Text"/>
    <w:basedOn w:val="1"/>
    <w:link w:val="109"/>
    <w:qFormat/>
    <w:uiPriority w:val="1"/>
    <w:pPr>
      <w:autoSpaceDE w:val="0"/>
      <w:autoSpaceDN w:val="0"/>
      <w:spacing w:line="240" w:lineRule="auto"/>
      <w:jc w:val="left"/>
    </w:pPr>
    <w:rPr>
      <w:rFonts w:ascii="微软雅黑" w:hAnsi="微软雅黑" w:eastAsia="微软雅黑" w:cs="微软雅黑"/>
      <w:kern w:val="0"/>
      <w:sz w:val="22"/>
      <w:lang w:val="zh-CN" w:bidi="zh-CN"/>
    </w:rPr>
  </w:style>
  <w:style w:type="paragraph" w:styleId="9">
    <w:name w:val="toc 3"/>
    <w:basedOn w:val="1"/>
    <w:next w:val="1"/>
    <w:qFormat/>
    <w:uiPriority w:val="0"/>
    <w:pPr>
      <w:spacing w:after="100"/>
      <w:ind w:left="420"/>
    </w:pPr>
  </w:style>
  <w:style w:type="paragraph" w:styleId="10">
    <w:name w:val="Balloon Text"/>
    <w:basedOn w:val="1"/>
    <w:link w:val="59"/>
    <w:qFormat/>
    <w:uiPriority w:val="0"/>
    <w:rPr>
      <w:sz w:val="18"/>
      <w:szCs w:val="18"/>
    </w:rPr>
  </w:style>
  <w:style w:type="paragraph" w:styleId="11">
    <w:name w:val="footer"/>
    <w:basedOn w:val="1"/>
    <w:link w:val="54"/>
    <w:qFormat/>
    <w:uiPriority w:val="99"/>
    <w:pPr>
      <w:tabs>
        <w:tab w:val="center" w:pos="4153"/>
        <w:tab w:val="right" w:pos="8306"/>
      </w:tabs>
      <w:snapToGrid w:val="0"/>
      <w:jc w:val="left"/>
    </w:pPr>
    <w:rPr>
      <w:sz w:val="18"/>
      <w:szCs w:val="18"/>
    </w:rPr>
  </w:style>
  <w:style w:type="paragraph" w:styleId="12">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tabs>
        <w:tab w:val="left" w:pos="420"/>
        <w:tab w:val="right" w:leader="dot" w:pos="8296"/>
      </w:tabs>
      <w:spacing w:before="240" w:after="120"/>
      <w:jc w:val="left"/>
    </w:pPr>
    <w:rPr>
      <w:b/>
      <w:bCs/>
      <w:sz w:val="24"/>
      <w:szCs w:val="20"/>
    </w:rPr>
  </w:style>
  <w:style w:type="paragraph" w:styleId="14">
    <w:name w:val="footnote text"/>
    <w:basedOn w:val="1"/>
    <w:link w:val="81"/>
    <w:qFormat/>
    <w:uiPriority w:val="0"/>
    <w:pPr>
      <w:spacing w:line="240" w:lineRule="auto"/>
    </w:pPr>
    <w:rPr>
      <w:szCs w:val="20"/>
    </w:rPr>
  </w:style>
  <w:style w:type="paragraph" w:styleId="15">
    <w:name w:val="toc 2"/>
    <w:basedOn w:val="1"/>
    <w:next w:val="1"/>
    <w:qFormat/>
    <w:uiPriority w:val="0"/>
    <w:pPr>
      <w:tabs>
        <w:tab w:val="left" w:pos="880"/>
        <w:tab w:val="right" w:leader="dot" w:pos="8296"/>
      </w:tabs>
      <w:spacing w:before="120"/>
      <w:ind w:left="210"/>
      <w:jc w:val="left"/>
    </w:pPr>
    <w:rPr>
      <w:i/>
      <w:iCs/>
      <w:sz w:val="21"/>
      <w:szCs w:val="20"/>
    </w:rPr>
  </w:style>
  <w:style w:type="paragraph" w:styleId="1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7">
    <w:name w:val="annotation subject"/>
    <w:basedOn w:val="7"/>
    <w:next w:val="7"/>
    <w:link w:val="62"/>
    <w:qFormat/>
    <w:uiPriority w:val="0"/>
    <w:rPr>
      <w:b/>
      <w:bCs/>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qFormat/>
    <w:uiPriority w:val="0"/>
    <w:rPr>
      <w:color w:val="954F72" w:themeColor="followedHyperlink"/>
      <w:u w:val="single"/>
      <w14:textFill>
        <w14:solidFill>
          <w14:schemeClr w14:val="folHlink"/>
        </w14:solidFill>
      </w14:textFill>
    </w:rPr>
  </w:style>
  <w:style w:type="character" w:styleId="24">
    <w:name w:val="Emphasis"/>
    <w:basedOn w:val="20"/>
    <w:qFormat/>
    <w:uiPriority w:val="0"/>
    <w:rPr>
      <w:i/>
      <w:iCs/>
    </w:rPr>
  </w:style>
  <w:style w:type="character" w:styleId="25">
    <w:name w:val="Hyperlink"/>
    <w:basedOn w:val="20"/>
    <w:qFormat/>
    <w:uiPriority w:val="0"/>
    <w:rPr>
      <w:color w:val="0563C1" w:themeColor="hyperlink"/>
      <w:u w:val="single"/>
      <w14:textFill>
        <w14:solidFill>
          <w14:schemeClr w14:val="hlink"/>
        </w14:solidFill>
      </w14:textFill>
    </w:rPr>
  </w:style>
  <w:style w:type="character" w:styleId="26">
    <w:name w:val="annotation reference"/>
    <w:basedOn w:val="20"/>
    <w:qFormat/>
    <w:uiPriority w:val="0"/>
    <w:rPr>
      <w:sz w:val="21"/>
      <w:szCs w:val="21"/>
    </w:rPr>
  </w:style>
  <w:style w:type="character" w:styleId="27">
    <w:name w:val="footnote reference"/>
    <w:basedOn w:val="20"/>
    <w:qFormat/>
    <w:uiPriority w:val="0"/>
    <w:rPr>
      <w:vertAlign w:val="superscript"/>
    </w:rPr>
  </w:style>
  <w:style w:type="paragraph" w:customStyle="1" w:styleId="28">
    <w:name w:val="普通正文"/>
    <w:basedOn w:val="1"/>
    <w:link w:val="29"/>
    <w:qFormat/>
    <w:uiPriority w:val="0"/>
    <w:pPr>
      <w:spacing w:line="420" w:lineRule="exact"/>
      <w:ind w:firstLine="200" w:firstLineChars="200"/>
    </w:pPr>
    <w:rPr>
      <w:rFonts w:cs="微软雅黑"/>
      <w:color w:val="000000" w:themeColor="text1"/>
      <w:sz w:val="24"/>
      <w:szCs w:val="21"/>
      <w14:textFill>
        <w14:solidFill>
          <w14:schemeClr w14:val="tx1"/>
        </w14:solidFill>
      </w14:textFill>
    </w:rPr>
  </w:style>
  <w:style w:type="character" w:customStyle="1" w:styleId="29">
    <w:name w:val="普通正文 字符"/>
    <w:basedOn w:val="20"/>
    <w:link w:val="28"/>
    <w:qFormat/>
    <w:uiPriority w:val="0"/>
    <w:rPr>
      <w:rFonts w:ascii="思源黑体 CN Regular" w:hAnsi="思源黑体 CN Regular" w:eastAsia="思源黑体 CN Regular" w:cs="微软雅黑"/>
      <w:color w:val="000000" w:themeColor="text1"/>
      <w:kern w:val="2"/>
      <w:sz w:val="24"/>
      <w:szCs w:val="21"/>
      <w14:textFill>
        <w14:solidFill>
          <w14:schemeClr w14:val="tx1"/>
        </w14:solidFill>
      </w14:textFill>
    </w:rPr>
  </w:style>
  <w:style w:type="paragraph" w:customStyle="1" w:styleId="30">
    <w:name w:val="附录"/>
    <w:basedOn w:val="1"/>
    <w:qFormat/>
    <w:uiPriority w:val="0"/>
    <w:pPr>
      <w:widowControl/>
      <w:numPr>
        <w:ilvl w:val="0"/>
        <w:numId w:val="1"/>
      </w:numPr>
      <w:ind w:left="50" w:leftChars="50" w:hanging="75" w:hangingChars="75"/>
      <w:jc w:val="left"/>
    </w:pPr>
    <w:rPr>
      <w:rFonts w:ascii="等线 Light" w:hAnsi="等线 Light" w:eastAsia="思源黑体 CN Normal"/>
      <w:b/>
      <w:bCs/>
      <w:color w:val="FF0000"/>
      <w:kern w:val="44"/>
      <w:sz w:val="44"/>
      <w:szCs w:val="44"/>
    </w:rPr>
  </w:style>
  <w:style w:type="character" w:customStyle="1" w:styleId="31">
    <w:name w:val="一级标题 字符"/>
    <w:basedOn w:val="32"/>
    <w:link w:val="33"/>
    <w:qFormat/>
    <w:uiPriority w:val="0"/>
    <w:rPr>
      <w:rFonts w:ascii="思源黑体 CN Heavy" w:hAnsi="思源黑体 CN Heavy" w:eastAsia="思源黑体 CN Heavy"/>
      <w:color w:val="E6233C"/>
      <w:kern w:val="44"/>
      <w:sz w:val="44"/>
      <w:szCs w:val="44"/>
    </w:rPr>
  </w:style>
  <w:style w:type="character" w:customStyle="1" w:styleId="32">
    <w:name w:val="标题 1 字符"/>
    <w:basedOn w:val="20"/>
    <w:link w:val="2"/>
    <w:qFormat/>
    <w:uiPriority w:val="9"/>
    <w:rPr>
      <w:rFonts w:ascii="微软雅黑" w:hAnsi="微软雅黑" w:eastAsia="微软雅黑"/>
      <w:b/>
      <w:bCs/>
      <w:color w:val="F0463C"/>
      <w:kern w:val="44"/>
      <w:sz w:val="44"/>
      <w:szCs w:val="44"/>
    </w:rPr>
  </w:style>
  <w:style w:type="paragraph" w:customStyle="1" w:styleId="33">
    <w:name w:val="一级标题"/>
    <w:basedOn w:val="2"/>
    <w:link w:val="31"/>
    <w:qFormat/>
    <w:uiPriority w:val="0"/>
    <w:rPr>
      <w:rFonts w:ascii="思源黑体 CN Heavy" w:hAnsi="思源黑体 CN Heavy" w:eastAsia="思源黑体 CN Heavy"/>
      <w:color w:val="E6233C"/>
    </w:rPr>
  </w:style>
  <w:style w:type="paragraph" w:customStyle="1" w:styleId="34">
    <w:name w:val="规则"/>
    <w:basedOn w:val="35"/>
    <w:link w:val="40"/>
    <w:qFormat/>
    <w:uiPriority w:val="0"/>
    <w:pPr>
      <w:numPr>
        <w:ilvl w:val="0"/>
        <w:numId w:val="2"/>
      </w:numPr>
    </w:pPr>
    <w:rPr>
      <w:rFonts w:cs="Arial"/>
      <w14:scene3d w14:prst="orthographicFront">
        <w14:lightRig w14:rig="threePt" w14:dir="t">
          <w14:rot w14:lat="0" w14:lon="0" w14:rev="0"/>
        </w14:lightRig>
      </w14:scene3d>
    </w:rPr>
  </w:style>
  <w:style w:type="paragraph" w:customStyle="1" w:styleId="35">
    <w:name w:val="技术规范"/>
    <w:basedOn w:val="1"/>
    <w:next w:val="36"/>
    <w:link w:val="41"/>
    <w:qFormat/>
    <w:uiPriority w:val="0"/>
    <w:pPr>
      <w:spacing w:line="420" w:lineRule="exact"/>
    </w:pPr>
    <w:rPr>
      <w:rFonts w:cs="微软雅黑"/>
      <w:sz w:val="24"/>
      <w:szCs w:val="21"/>
      <w:lang w:val="en-GB"/>
    </w:rPr>
  </w:style>
  <w:style w:type="paragraph" w:customStyle="1" w:styleId="36">
    <w:name w:val="规则解释"/>
    <w:basedOn w:val="37"/>
    <w:next w:val="37"/>
    <w:qFormat/>
    <w:uiPriority w:val="0"/>
    <w:pPr>
      <w:numPr>
        <w:ilvl w:val="0"/>
        <w:numId w:val="3"/>
      </w:numPr>
      <w:spacing w:line="420" w:lineRule="exact"/>
      <w:ind w:left="0" w:firstLine="3203" w:firstLineChars="200"/>
    </w:pPr>
    <w:rPr>
      <w:rFonts w:cs="等线 Light"/>
    </w:rPr>
  </w:style>
  <w:style w:type="paragraph" w:customStyle="1" w:styleId="37">
    <w:name w:val="解释"/>
    <w:basedOn w:val="38"/>
    <w:link w:val="42"/>
    <w:qFormat/>
    <w:uiPriority w:val="0"/>
    <w:pPr>
      <w:numPr>
        <w:numId w:val="0"/>
      </w:numPr>
      <w:ind w:left="1271" w:hanging="420"/>
    </w:pPr>
    <w:rPr>
      <w:rFonts w:ascii="微软雅黑" w:hAnsi="微软雅黑"/>
    </w:rPr>
  </w:style>
  <w:style w:type="paragraph" w:customStyle="1" w:styleId="38">
    <w:name w:val="符号正文"/>
    <w:basedOn w:val="39"/>
    <w:link w:val="43"/>
    <w:qFormat/>
    <w:uiPriority w:val="0"/>
    <w:pPr>
      <w:numPr>
        <w:ilvl w:val="0"/>
        <w:numId w:val="4"/>
      </w:numPr>
      <w:spacing w:line="240" w:lineRule="auto"/>
      <w:ind w:firstLine="0" w:firstLineChars="0"/>
    </w:pPr>
    <w:rPr>
      <w:rFonts w:eastAsia="微软雅黑" w:cs="微软雅黑"/>
      <w:sz w:val="24"/>
      <w:szCs w:val="21"/>
    </w:rPr>
  </w:style>
  <w:style w:type="paragraph" w:customStyle="1" w:styleId="39">
    <w:name w:val="列表段落1"/>
    <w:basedOn w:val="1"/>
    <w:link w:val="44"/>
    <w:qFormat/>
    <w:uiPriority w:val="99"/>
    <w:pPr>
      <w:ind w:firstLine="420" w:firstLineChars="200"/>
    </w:pPr>
  </w:style>
  <w:style w:type="character" w:customStyle="1" w:styleId="40">
    <w:name w:val="规则 Char1"/>
    <w:basedOn w:val="20"/>
    <w:link w:val="34"/>
    <w:qFormat/>
    <w:uiPriority w:val="0"/>
    <w:rPr>
      <w:rFonts w:ascii="思源黑体 CN Regular" w:hAnsi="思源黑体 CN Regular" w:eastAsia="思源黑体 CN Regular" w:cs="Arial"/>
      <w:kern w:val="2"/>
      <w:sz w:val="24"/>
      <w:szCs w:val="21"/>
      <w:lang w:val="en-GB"/>
      <w14:scene3d w14:prst="orthographicFront">
        <w14:lightRig w14:rig="threePt" w14:dir="t">
          <w14:rot w14:lat="0" w14:lon="0" w14:rev="0"/>
        </w14:lightRig>
      </w14:scene3d>
    </w:rPr>
  </w:style>
  <w:style w:type="character" w:customStyle="1" w:styleId="41">
    <w:name w:val="技术规范 Char"/>
    <w:basedOn w:val="20"/>
    <w:link w:val="35"/>
    <w:qFormat/>
    <w:uiPriority w:val="0"/>
    <w:rPr>
      <w:rFonts w:ascii="思源黑体 CN Regular" w:hAnsi="思源黑体 CN Regular" w:eastAsia="思源黑体 CN Regular" w:cs="微软雅黑"/>
      <w:kern w:val="2"/>
      <w:sz w:val="24"/>
      <w:szCs w:val="21"/>
      <w:lang w:val="en-GB"/>
    </w:rPr>
  </w:style>
  <w:style w:type="character" w:customStyle="1" w:styleId="42">
    <w:name w:val="解释 Char"/>
    <w:basedOn w:val="43"/>
    <w:link w:val="37"/>
    <w:qFormat/>
    <w:uiPriority w:val="0"/>
    <w:rPr>
      <w:rFonts w:ascii="微软雅黑" w:hAnsi="微软雅黑" w:eastAsia="微软雅黑" w:cs="微软雅黑"/>
      <w:kern w:val="2"/>
      <w:sz w:val="24"/>
      <w:szCs w:val="21"/>
    </w:rPr>
  </w:style>
  <w:style w:type="character" w:customStyle="1" w:styleId="43">
    <w:name w:val="符号正文 字符"/>
    <w:basedOn w:val="44"/>
    <w:link w:val="38"/>
    <w:qFormat/>
    <w:uiPriority w:val="0"/>
    <w:rPr>
      <w:rFonts w:ascii="思源黑体 CN Regular" w:hAnsi="思源黑体 CN Regular" w:eastAsia="微软雅黑" w:cs="微软雅黑"/>
      <w:kern w:val="2"/>
      <w:sz w:val="24"/>
      <w:szCs w:val="21"/>
    </w:rPr>
  </w:style>
  <w:style w:type="character" w:customStyle="1" w:styleId="44">
    <w:name w:val="列表段落 字符"/>
    <w:basedOn w:val="20"/>
    <w:link w:val="39"/>
    <w:qFormat/>
    <w:uiPriority w:val="34"/>
  </w:style>
  <w:style w:type="character" w:customStyle="1" w:styleId="45">
    <w:name w:val="标题 2 字符"/>
    <w:basedOn w:val="20"/>
    <w:link w:val="3"/>
    <w:qFormat/>
    <w:uiPriority w:val="1"/>
    <w:rPr>
      <w:rFonts w:asciiTheme="majorHAnsi" w:hAnsiTheme="majorHAnsi" w:eastAsiaTheme="majorEastAsia" w:cstheme="majorBidi"/>
      <w:b/>
      <w:bCs/>
      <w:color w:val="F0463C"/>
      <w:kern w:val="2"/>
      <w:sz w:val="32"/>
      <w:szCs w:val="32"/>
    </w:rPr>
  </w:style>
  <w:style w:type="paragraph" w:customStyle="1" w:styleId="46">
    <w:name w:val="列出段落11"/>
    <w:basedOn w:val="1"/>
    <w:qFormat/>
    <w:uiPriority w:val="34"/>
    <w:rPr>
      <w:rFonts w:ascii="Times New Roman" w:hAnsi="Times New Roman" w:eastAsia="宋体" w:cs="Times New Roman"/>
      <w:szCs w:val="20"/>
    </w:rPr>
  </w:style>
  <w:style w:type="paragraph" w:customStyle="1" w:styleId="47">
    <w:name w:val="CN规则 正文"/>
    <w:basedOn w:val="1"/>
    <w:link w:val="48"/>
    <w:qFormat/>
    <w:uiPriority w:val="0"/>
    <w:pPr>
      <w:spacing w:line="420" w:lineRule="exact"/>
      <w:ind w:firstLine="471"/>
    </w:pPr>
    <w:rPr>
      <w:rFonts w:cs="微软雅黑"/>
      <w:color w:val="000000" w:themeColor="text1"/>
      <w:sz w:val="24"/>
      <w:szCs w:val="21"/>
      <w14:textFill>
        <w14:solidFill>
          <w14:schemeClr w14:val="tx1"/>
        </w14:solidFill>
      </w14:textFill>
    </w:rPr>
  </w:style>
  <w:style w:type="character" w:customStyle="1" w:styleId="48">
    <w:name w:val="CN规则 正文 字符"/>
    <w:basedOn w:val="20"/>
    <w:link w:val="47"/>
    <w:qFormat/>
    <w:uiPriority w:val="0"/>
    <w:rPr>
      <w:rFonts w:ascii="思源黑体 CN Regular" w:hAnsi="思源黑体 CN Regular" w:eastAsia="思源黑体 CN Regular" w:cs="微软雅黑"/>
      <w:color w:val="000000" w:themeColor="text1"/>
      <w:kern w:val="2"/>
      <w:sz w:val="24"/>
      <w:szCs w:val="21"/>
      <w14:textFill>
        <w14:solidFill>
          <w14:schemeClr w14:val="tx1"/>
        </w14:solidFill>
      </w14:textFill>
    </w:rPr>
  </w:style>
  <w:style w:type="paragraph" w:customStyle="1" w:styleId="49">
    <w:name w:val="二级标题1"/>
    <w:basedOn w:val="3"/>
    <w:next w:val="1"/>
    <w:link w:val="50"/>
    <w:qFormat/>
    <w:uiPriority w:val="0"/>
    <w:pPr>
      <w:spacing w:line="415" w:lineRule="auto"/>
    </w:pPr>
    <w:rPr>
      <w:rFonts w:ascii="思源黑体 CN Heavy" w:hAnsi="思源黑体 CN Heavy" w:eastAsia="思源黑体 CN Heavy"/>
      <w:color w:val="E6233C"/>
    </w:rPr>
  </w:style>
  <w:style w:type="character" w:customStyle="1" w:styleId="50">
    <w:name w:val="二级标题1 Char"/>
    <w:basedOn w:val="45"/>
    <w:link w:val="49"/>
    <w:qFormat/>
    <w:uiPriority w:val="0"/>
    <w:rPr>
      <w:rFonts w:ascii="思源黑体 CN Heavy" w:hAnsi="思源黑体 CN Heavy" w:eastAsia="思源黑体 CN Heavy" w:cstheme="majorBidi"/>
      <w:color w:val="E6233C"/>
      <w:kern w:val="2"/>
      <w:sz w:val="32"/>
      <w:szCs w:val="32"/>
    </w:rPr>
  </w:style>
  <w:style w:type="paragraph" w:customStyle="1" w:styleId="51">
    <w:name w:val="三级标题"/>
    <w:basedOn w:val="47"/>
    <w:link w:val="52"/>
    <w:qFormat/>
    <w:uiPriority w:val="0"/>
    <w:pPr>
      <w:ind w:firstLine="0"/>
      <w:outlineLvl w:val="2"/>
    </w:pPr>
    <w:rPr>
      <w:b/>
      <w:color w:val="F0463C"/>
    </w:rPr>
  </w:style>
  <w:style w:type="character" w:customStyle="1" w:styleId="52">
    <w:name w:val="三级标题 字符"/>
    <w:basedOn w:val="29"/>
    <w:link w:val="51"/>
    <w:qFormat/>
    <w:uiPriority w:val="0"/>
    <w:rPr>
      <w:rFonts w:ascii="微软雅黑" w:hAnsi="微软雅黑" w:eastAsia="微软雅黑" w:cs="微软雅黑"/>
      <w:b/>
      <w:color w:val="F0463C"/>
      <w:kern w:val="2"/>
      <w:sz w:val="24"/>
      <w:szCs w:val="21"/>
    </w:rPr>
  </w:style>
  <w:style w:type="character" w:customStyle="1" w:styleId="53">
    <w:name w:val="页眉 字符"/>
    <w:basedOn w:val="20"/>
    <w:link w:val="12"/>
    <w:qFormat/>
    <w:uiPriority w:val="99"/>
    <w:rPr>
      <w:sz w:val="18"/>
      <w:szCs w:val="18"/>
    </w:rPr>
  </w:style>
  <w:style w:type="character" w:customStyle="1" w:styleId="54">
    <w:name w:val="页脚 字符"/>
    <w:basedOn w:val="20"/>
    <w:link w:val="11"/>
    <w:qFormat/>
    <w:uiPriority w:val="99"/>
    <w:rPr>
      <w:sz w:val="18"/>
      <w:szCs w:val="18"/>
    </w:rPr>
  </w:style>
  <w:style w:type="paragraph" w:customStyle="1" w:styleId="55">
    <w:name w:val="三级标题1"/>
    <w:basedOn w:val="51"/>
    <w:link w:val="56"/>
    <w:qFormat/>
    <w:uiPriority w:val="0"/>
    <w:pPr>
      <w:numPr>
        <w:ilvl w:val="2"/>
        <w:numId w:val="5"/>
      </w:numPr>
    </w:pPr>
  </w:style>
  <w:style w:type="character" w:customStyle="1" w:styleId="56">
    <w:name w:val="三级标题1 字符"/>
    <w:basedOn w:val="52"/>
    <w:link w:val="55"/>
    <w:qFormat/>
    <w:uiPriority w:val="0"/>
    <w:rPr>
      <w:rFonts w:ascii="思源黑体 CN Regular" w:hAnsi="思源黑体 CN Regular" w:eastAsia="思源黑体 CN Regular" w:cs="微软雅黑"/>
      <w:color w:val="F0463C"/>
      <w:kern w:val="2"/>
      <w:sz w:val="24"/>
      <w:szCs w:val="21"/>
    </w:rPr>
  </w:style>
  <w:style w:type="paragraph" w:customStyle="1" w:styleId="57">
    <w:name w:val="1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8">
    <w:name w:val="inline-comment-marker"/>
    <w:basedOn w:val="20"/>
    <w:qFormat/>
    <w:uiPriority w:val="0"/>
  </w:style>
  <w:style w:type="character" w:customStyle="1" w:styleId="59">
    <w:name w:val="批注框文本 字符"/>
    <w:basedOn w:val="20"/>
    <w:link w:val="10"/>
    <w:semiHidden/>
    <w:qFormat/>
    <w:uiPriority w:val="99"/>
    <w:rPr>
      <w:sz w:val="18"/>
      <w:szCs w:val="18"/>
    </w:rPr>
  </w:style>
  <w:style w:type="character" w:customStyle="1" w:styleId="60">
    <w:name w:val="不明显强调1"/>
    <w:basedOn w:val="20"/>
    <w:qFormat/>
    <w:uiPriority w:val="19"/>
    <w:rPr>
      <w:i/>
      <w:iCs/>
      <w:color w:val="404040" w:themeColor="text1" w:themeTint="BF"/>
      <w14:textFill>
        <w14:solidFill>
          <w14:schemeClr w14:val="tx1">
            <w14:lumMod w14:val="75000"/>
            <w14:lumOff w14:val="25000"/>
          </w14:schemeClr>
        </w14:solidFill>
      </w14:textFill>
    </w:rPr>
  </w:style>
  <w:style w:type="character" w:customStyle="1" w:styleId="61">
    <w:name w:val="批注文字 字符"/>
    <w:basedOn w:val="20"/>
    <w:link w:val="7"/>
    <w:semiHidden/>
    <w:qFormat/>
    <w:uiPriority w:val="99"/>
  </w:style>
  <w:style w:type="character" w:customStyle="1" w:styleId="62">
    <w:name w:val="批注主题 字符"/>
    <w:basedOn w:val="61"/>
    <w:link w:val="17"/>
    <w:semiHidden/>
    <w:qFormat/>
    <w:uiPriority w:val="99"/>
    <w:rPr>
      <w:b/>
      <w:bCs/>
    </w:rPr>
  </w:style>
  <w:style w:type="paragraph" w:customStyle="1" w:styleId="63">
    <w:name w:val="任务"/>
    <w:basedOn w:val="35"/>
    <w:link w:val="64"/>
    <w:qFormat/>
    <w:uiPriority w:val="0"/>
    <w:pPr>
      <w:numPr>
        <w:ilvl w:val="0"/>
        <w:numId w:val="6"/>
      </w:numPr>
    </w:pPr>
    <w:rPr>
      <w:rFonts w:ascii="思源黑体 CN Heavy" w:hAnsi="思源黑体 CN Heavy" w:eastAsia="思源黑体 CN Heavy"/>
      <w:b/>
      <w14:scene3d w14:prst="orthographicFront">
        <w14:lightRig w14:rig="threePt" w14:dir="t">
          <w14:rot w14:lat="0" w14:lon="0" w14:rev="0"/>
        </w14:lightRig>
      </w14:scene3d>
    </w:rPr>
  </w:style>
  <w:style w:type="character" w:customStyle="1" w:styleId="64">
    <w:name w:val="任务 Char"/>
    <w:basedOn w:val="20"/>
    <w:link w:val="63"/>
    <w:qFormat/>
    <w:uiPriority w:val="0"/>
    <w:rPr>
      <w:rFonts w:ascii="思源黑体 CN Heavy" w:hAnsi="思源黑体 CN Heavy" w:eastAsia="思源黑体 CN Heavy" w:cs="微软雅黑"/>
      <w:b/>
      <w:kern w:val="2"/>
      <w:sz w:val="24"/>
      <w:szCs w:val="21"/>
      <w:lang w:val="en-GB"/>
      <w14:scene3d w14:prst="orthographicFront">
        <w14:lightRig w14:rig="threePt" w14:dir="t">
          <w14:rot w14:lat="0" w14:lon="0" w14:rev="0"/>
        </w14:lightRig>
      </w14:scene3d>
    </w:rPr>
  </w:style>
  <w:style w:type="paragraph" w:customStyle="1" w:styleId="65">
    <w:name w:val="Default"/>
    <w:qFormat/>
    <w:uiPriority w:val="0"/>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 w:type="character" w:customStyle="1" w:styleId="66">
    <w:name w:val="标题 3 字符"/>
    <w:basedOn w:val="20"/>
    <w:link w:val="4"/>
    <w:qFormat/>
    <w:uiPriority w:val="9"/>
    <w:rPr>
      <w:rFonts w:asciiTheme="majorHAnsi" w:hAnsiTheme="majorHAnsi" w:eastAsiaTheme="majorEastAsia" w:cstheme="majorBidi"/>
      <w:color w:val="1F4E79" w:themeColor="accent1" w:themeShade="80"/>
      <w:sz w:val="24"/>
      <w:szCs w:val="24"/>
    </w:rPr>
  </w:style>
  <w:style w:type="character" w:customStyle="1" w:styleId="67">
    <w:name w:val="标题 5 字符"/>
    <w:basedOn w:val="20"/>
    <w:link w:val="6"/>
    <w:semiHidden/>
    <w:qFormat/>
    <w:uiPriority w:val="9"/>
    <w:rPr>
      <w:rFonts w:asciiTheme="majorHAnsi" w:hAnsiTheme="majorHAnsi" w:eastAsiaTheme="majorEastAsia" w:cstheme="majorBidi"/>
      <w:color w:val="2E75B6" w:themeColor="accent1" w:themeShade="BF"/>
    </w:rPr>
  </w:style>
  <w:style w:type="paragraph" w:customStyle="1" w:styleId="68">
    <w:name w:val="a"/>
    <w:basedOn w:val="1"/>
    <w:qFormat/>
    <w:uiPriority w:val="0"/>
    <w:pPr>
      <w:widowControl/>
      <w:spacing w:before="100" w:beforeAutospacing="1" w:after="100" w:afterAutospacing="1"/>
      <w:jc w:val="left"/>
    </w:pPr>
    <w:rPr>
      <w:rFonts w:ascii="Times New Roman" w:hAnsi="Times New Roman" w:cs="Times New Roman"/>
      <w:kern w:val="0"/>
      <w:sz w:val="24"/>
      <w:szCs w:val="24"/>
      <w:lang w:val="en-GB"/>
    </w:rPr>
  </w:style>
  <w:style w:type="character" w:customStyle="1" w:styleId="69">
    <w:name w:val="ql-author-14022863"/>
    <w:basedOn w:val="20"/>
    <w:qFormat/>
    <w:uiPriority w:val="0"/>
  </w:style>
  <w:style w:type="character" w:customStyle="1" w:styleId="70">
    <w:name w:val="ql-author-13496091"/>
    <w:basedOn w:val="20"/>
    <w:qFormat/>
    <w:uiPriority w:val="0"/>
  </w:style>
  <w:style w:type="character" w:customStyle="1" w:styleId="71">
    <w:name w:val="ql-author-15805597"/>
    <w:basedOn w:val="20"/>
    <w:qFormat/>
    <w:uiPriority w:val="0"/>
  </w:style>
  <w:style w:type="paragraph" w:customStyle="1" w:styleId="72">
    <w:name w:val="无间隔1"/>
    <w:basedOn w:val="55"/>
    <w:link w:val="110"/>
    <w:qFormat/>
    <w:uiPriority w:val="1"/>
    <w:pPr>
      <w:numPr>
        <w:ilvl w:val="0"/>
        <w:numId w:val="0"/>
      </w:numPr>
    </w:pPr>
    <w:rPr>
      <w:rFonts w:ascii="思源黑体 CN Heavy" w:hAnsi="思源黑体 CN Heavy" w:eastAsia="思源黑体 CN Heavy"/>
      <w:color w:val="2E75B6" w:themeColor="accent1" w:themeShade="BF"/>
    </w:rPr>
  </w:style>
  <w:style w:type="character" w:customStyle="1" w:styleId="73">
    <w:name w:val="标题 4 字符"/>
    <w:basedOn w:val="20"/>
    <w:link w:val="5"/>
    <w:semiHidden/>
    <w:qFormat/>
    <w:uiPriority w:val="9"/>
    <w:rPr>
      <w:rFonts w:asciiTheme="majorHAnsi" w:hAnsiTheme="majorHAnsi" w:eastAsiaTheme="majorEastAsia" w:cstheme="majorBidi"/>
      <w:b/>
      <w:bCs/>
      <w:sz w:val="28"/>
      <w:szCs w:val="28"/>
    </w:rPr>
  </w:style>
  <w:style w:type="character" w:customStyle="1" w:styleId="74">
    <w:name w:val="规则 Char"/>
    <w:basedOn w:val="48"/>
    <w:qFormat/>
    <w:uiPriority w:val="0"/>
    <w:rPr>
      <w:rFonts w:ascii="微软雅黑" w:hAnsi="微软雅黑" w:eastAsia="微软雅黑" w:cs="微软雅黑"/>
      <w:color w:val="000000" w:themeColor="text1"/>
      <w:kern w:val="2"/>
      <w:sz w:val="24"/>
      <w:szCs w:val="21"/>
      <w14:textFill>
        <w14:solidFill>
          <w14:schemeClr w14:val="tx1"/>
        </w14:solidFill>
      </w14:textFill>
    </w:rPr>
  </w:style>
  <w:style w:type="paragraph" w:customStyle="1" w:styleId="75">
    <w:name w:val="修订1"/>
    <w:hidden/>
    <w:semiHidden/>
    <w:qFormat/>
    <w:uiPriority w:val="99"/>
    <w:rPr>
      <w:rFonts w:asciiTheme="minorHAnsi" w:hAnsiTheme="minorHAnsi" w:eastAsiaTheme="minorEastAsia" w:cstheme="minorBidi"/>
      <w:kern w:val="2"/>
      <w:sz w:val="21"/>
      <w:szCs w:val="22"/>
      <w:lang w:val="en-US" w:eastAsia="zh-CN" w:bidi="ar-SA"/>
    </w:rPr>
  </w:style>
  <w:style w:type="table" w:customStyle="1" w:styleId="76">
    <w:name w:val="网格表 5 深色 - 着色 51"/>
    <w:basedOn w:val="1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77">
    <w:name w:val="无格式表格 31"/>
    <w:basedOn w:val="1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78">
    <w:name w:val="清单表 7 彩色 - 着色 21"/>
    <w:basedOn w:val="18"/>
    <w:qFormat/>
    <w:uiPriority w:val="52"/>
    <w:rPr>
      <w:color w:val="C55A11" w:themeColor="accent2" w:themeShade="BF"/>
    </w:r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79">
    <w:name w:val="标题1"/>
    <w:basedOn w:val="1"/>
    <w:link w:val="80"/>
    <w:qFormat/>
    <w:uiPriority w:val="0"/>
    <w:pPr>
      <w:spacing w:line="240" w:lineRule="auto"/>
      <w:jc w:val="center"/>
    </w:pPr>
    <w:rPr>
      <w:b/>
      <w:sz w:val="52"/>
      <w:szCs w:val="44"/>
    </w:rPr>
  </w:style>
  <w:style w:type="character" w:customStyle="1" w:styleId="80">
    <w:name w:val="标题 Char"/>
    <w:basedOn w:val="20"/>
    <w:link w:val="79"/>
    <w:qFormat/>
    <w:uiPriority w:val="0"/>
    <w:rPr>
      <w:rFonts w:ascii="思源黑体 CN Regular" w:hAnsi="思源黑体 CN Regular" w:eastAsia="思源黑体 CN Regular"/>
      <w:b/>
      <w:sz w:val="52"/>
      <w:szCs w:val="44"/>
    </w:rPr>
  </w:style>
  <w:style w:type="character" w:customStyle="1" w:styleId="81">
    <w:name w:val="脚注文本 字符"/>
    <w:basedOn w:val="20"/>
    <w:link w:val="14"/>
    <w:semiHidden/>
    <w:qFormat/>
    <w:uiPriority w:val="99"/>
    <w:rPr>
      <w:rFonts w:ascii="思源黑体 CN Regular" w:hAnsi="思源黑体 CN Regular"/>
      <w:sz w:val="20"/>
      <w:szCs w:val="20"/>
    </w:rPr>
  </w:style>
  <w:style w:type="character" w:customStyle="1" w:styleId="82">
    <w:name w:val="未处理的提及1"/>
    <w:basedOn w:val="20"/>
    <w:unhideWhenUsed/>
    <w:qFormat/>
    <w:uiPriority w:val="99"/>
    <w:rPr>
      <w:color w:val="605E5C"/>
      <w:shd w:val="clear" w:color="auto" w:fill="E1DFDD"/>
    </w:rPr>
  </w:style>
  <w:style w:type="character" w:customStyle="1" w:styleId="83">
    <w:name w:val="三级标题1 Char"/>
    <w:basedOn w:val="52"/>
    <w:qFormat/>
    <w:uiPriority w:val="0"/>
    <w:rPr>
      <w:rFonts w:ascii="思源黑体 CN Regular" w:hAnsi="思源黑体 CN Regular" w:eastAsia="思源黑体 CN Heavy" w:cs="微软雅黑"/>
      <w:color w:val="2E75B6" w:themeColor="accent1" w:themeShade="BF"/>
      <w:kern w:val="2"/>
      <w:sz w:val="24"/>
      <w:szCs w:val="21"/>
    </w:rPr>
  </w:style>
  <w:style w:type="paragraph" w:customStyle="1" w:styleId="84">
    <w:name w:val="目录"/>
    <w:basedOn w:val="1"/>
    <w:link w:val="86"/>
    <w:qFormat/>
    <w:uiPriority w:val="0"/>
    <w:pPr>
      <w:widowControl/>
      <w:spacing w:line="240" w:lineRule="auto"/>
      <w:jc w:val="center"/>
    </w:pPr>
    <w:rPr>
      <w:rFonts w:ascii="思源黑体 CN Heavy" w:hAnsi="思源黑体 CN Heavy" w:eastAsia="思源黑体 CN Heavy" w:cs="微软雅黑"/>
      <w:b/>
      <w:color w:val="E6233C"/>
      <w:sz w:val="44"/>
      <w:szCs w:val="44"/>
    </w:rPr>
  </w:style>
  <w:style w:type="paragraph" w:customStyle="1" w:styleId="85">
    <w:name w:val="CN规则一级标题"/>
    <w:basedOn w:val="33"/>
    <w:link w:val="88"/>
    <w:qFormat/>
    <w:uiPriority w:val="0"/>
    <w:pPr>
      <w:spacing w:line="420" w:lineRule="exact"/>
    </w:pPr>
  </w:style>
  <w:style w:type="character" w:customStyle="1" w:styleId="86">
    <w:name w:val="目录 Char"/>
    <w:basedOn w:val="20"/>
    <w:link w:val="84"/>
    <w:qFormat/>
    <w:uiPriority w:val="0"/>
    <w:rPr>
      <w:rFonts w:ascii="思源黑体 CN Heavy" w:hAnsi="思源黑体 CN Heavy" w:eastAsia="思源黑体 CN Heavy" w:cs="微软雅黑"/>
      <w:b/>
      <w:color w:val="E6233C"/>
      <w:sz w:val="44"/>
      <w:szCs w:val="44"/>
    </w:rPr>
  </w:style>
  <w:style w:type="paragraph" w:customStyle="1" w:styleId="87">
    <w:name w:val="CN规则二级标题"/>
    <w:basedOn w:val="49"/>
    <w:link w:val="89"/>
    <w:qFormat/>
    <w:uiPriority w:val="0"/>
    <w:pPr>
      <w:spacing w:line="420" w:lineRule="exact"/>
    </w:pPr>
  </w:style>
  <w:style w:type="character" w:customStyle="1" w:styleId="88">
    <w:name w:val="CN规则一级标题 字符"/>
    <w:basedOn w:val="31"/>
    <w:link w:val="85"/>
    <w:qFormat/>
    <w:uiPriority w:val="0"/>
    <w:rPr>
      <w:rFonts w:ascii="思源黑体 CN Heavy" w:hAnsi="思源黑体 CN Heavy" w:eastAsia="思源黑体 CN Heavy"/>
      <w:color w:val="E6233C"/>
      <w:kern w:val="44"/>
      <w:sz w:val="44"/>
      <w:szCs w:val="44"/>
    </w:rPr>
  </w:style>
  <w:style w:type="character" w:customStyle="1" w:styleId="89">
    <w:name w:val="CN规则二级标题 字符"/>
    <w:basedOn w:val="50"/>
    <w:link w:val="87"/>
    <w:qFormat/>
    <w:uiPriority w:val="0"/>
    <w:rPr>
      <w:rFonts w:ascii="思源黑体 CN Heavy" w:hAnsi="思源黑体 CN Heavy" w:eastAsia="思源黑体 CN Heavy" w:cstheme="majorBidi"/>
      <w:color w:val="E6233C"/>
      <w:kern w:val="2"/>
      <w:sz w:val="32"/>
      <w:szCs w:val="32"/>
    </w:rPr>
  </w:style>
  <w:style w:type="table" w:customStyle="1" w:styleId="90">
    <w:name w:val="网格表 4 - 着色 31"/>
    <w:basedOn w:val="1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91">
    <w:name w:val="网格表 4 - 着色 11"/>
    <w:basedOn w:val="1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paragraph" w:customStyle="1" w:styleId="92">
    <w:name w:val="石墨文档正文"/>
    <w:qFormat/>
    <w:uiPriority w:val="0"/>
    <w:pPr>
      <w:spacing w:after="160" w:line="259" w:lineRule="auto"/>
    </w:pPr>
    <w:rPr>
      <w:rFonts w:ascii="微软雅黑" w:hAnsi="微软雅黑" w:eastAsia="微软雅黑" w:cs="微软雅黑"/>
      <w:sz w:val="24"/>
      <w:szCs w:val="24"/>
      <w:lang w:val="en-US" w:eastAsia="zh-CN" w:bidi="ar-SA"/>
    </w:rPr>
  </w:style>
  <w:style w:type="table" w:customStyle="1" w:styleId="93">
    <w:name w:val="清单表 3 - 着色 11"/>
    <w:basedOn w:val="18"/>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paragraph" w:customStyle="1" w:styleId="94">
    <w:name w:val="技术"/>
    <w:basedOn w:val="37"/>
    <w:link w:val="95"/>
    <w:qFormat/>
    <w:uiPriority w:val="0"/>
    <w:pPr>
      <w:numPr>
        <w:ilvl w:val="0"/>
        <w:numId w:val="7"/>
      </w:numPr>
    </w:pPr>
  </w:style>
  <w:style w:type="character" w:customStyle="1" w:styleId="95">
    <w:name w:val="技术 Char"/>
    <w:basedOn w:val="42"/>
    <w:link w:val="94"/>
    <w:qFormat/>
    <w:uiPriority w:val="0"/>
    <w:rPr>
      <w:rFonts w:ascii="微软雅黑" w:hAnsi="微软雅黑" w:eastAsia="微软雅黑" w:cs="微软雅黑"/>
      <w:kern w:val="2"/>
      <w:sz w:val="24"/>
      <w:szCs w:val="21"/>
    </w:rPr>
  </w:style>
  <w:style w:type="paragraph" w:customStyle="1" w:styleId="96">
    <w:name w:val="CN规则"/>
    <w:basedOn w:val="1"/>
    <w:link w:val="97"/>
    <w:qFormat/>
    <w:uiPriority w:val="0"/>
    <w:pPr>
      <w:numPr>
        <w:ilvl w:val="0"/>
        <w:numId w:val="8"/>
      </w:numPr>
      <w:spacing w:line="420" w:lineRule="exact"/>
      <w:ind w:left="0" w:firstLine="200" w:firstLineChars="200"/>
    </w:pPr>
    <w:rPr>
      <w:sz w:val="24"/>
    </w:rPr>
  </w:style>
  <w:style w:type="character" w:customStyle="1" w:styleId="97">
    <w:name w:val="CN规则 Char"/>
    <w:basedOn w:val="40"/>
    <w:link w:val="96"/>
    <w:qFormat/>
    <w:uiPriority w:val="0"/>
    <w:rPr>
      <w:rFonts w:ascii="思源黑体 CN Regular" w:hAnsi="思源黑体 CN Regular" w:eastAsia="思源黑体 CN Regular" w:cs="Arial"/>
      <w:kern w:val="2"/>
      <w:sz w:val="24"/>
      <w:szCs w:val="22"/>
      <w:lang w:val="en-GB"/>
      <w14:scene3d w14:prst="orthographicFront">
        <w14:lightRig w14:rig="threePt" w14:dir="t">
          <w14:rot w14:lat="0" w14:lon="0" w14:rev="0"/>
        </w14:lightRig>
      </w14:scene3d>
    </w:rPr>
  </w:style>
  <w:style w:type="character" w:customStyle="1" w:styleId="98">
    <w:name w:val="未处理的提及2"/>
    <w:basedOn w:val="20"/>
    <w:unhideWhenUsed/>
    <w:qFormat/>
    <w:uiPriority w:val="99"/>
    <w:rPr>
      <w:color w:val="605E5C"/>
      <w:shd w:val="clear" w:color="auto" w:fill="E1DFDD"/>
    </w:rPr>
  </w:style>
  <w:style w:type="paragraph" w:customStyle="1" w:styleId="99">
    <w:name w:val="E01."/>
    <w:basedOn w:val="35"/>
    <w:link w:val="101"/>
    <w:qFormat/>
    <w:uiPriority w:val="0"/>
    <w:pPr>
      <w:ind w:firstLine="480"/>
    </w:pPr>
  </w:style>
  <w:style w:type="paragraph" w:customStyle="1" w:styleId="100">
    <w:name w:val="E01.样式1"/>
    <w:basedOn w:val="1"/>
    <w:link w:val="103"/>
    <w:qFormat/>
    <w:uiPriority w:val="0"/>
    <w:pPr>
      <w:numPr>
        <w:ilvl w:val="0"/>
        <w:numId w:val="9"/>
      </w:numPr>
      <w:spacing w:line="420" w:lineRule="exact"/>
      <w:ind w:left="0" w:firstLine="200" w:firstLineChars="200"/>
    </w:pPr>
    <w:rPr>
      <w:sz w:val="24"/>
    </w:rPr>
  </w:style>
  <w:style w:type="character" w:customStyle="1" w:styleId="101">
    <w:name w:val="E01. 字符"/>
    <w:basedOn w:val="41"/>
    <w:link w:val="99"/>
    <w:qFormat/>
    <w:uiPriority w:val="0"/>
    <w:rPr>
      <w:rFonts w:ascii="思源黑体 CN Regular" w:hAnsi="思源黑体 CN Regular" w:eastAsia="思源黑体 CN Regular" w:cs="微软雅黑"/>
      <w:kern w:val="2"/>
      <w:sz w:val="24"/>
      <w:szCs w:val="21"/>
      <w:lang w:val="en-GB"/>
    </w:rPr>
  </w:style>
  <w:style w:type="character" w:customStyle="1" w:styleId="102">
    <w:name w:val="不明显强调2"/>
    <w:basedOn w:val="20"/>
    <w:qFormat/>
    <w:uiPriority w:val="19"/>
    <w:rPr>
      <w:i/>
      <w:iCs/>
      <w:color w:val="404040" w:themeColor="text1" w:themeTint="BF"/>
      <w14:textFill>
        <w14:solidFill>
          <w14:schemeClr w14:val="tx1">
            <w14:lumMod w14:val="75000"/>
            <w14:lumOff w14:val="25000"/>
          </w14:schemeClr>
        </w14:solidFill>
      </w14:textFill>
    </w:rPr>
  </w:style>
  <w:style w:type="character" w:customStyle="1" w:styleId="103">
    <w:name w:val="E01.样式1 字符"/>
    <w:basedOn w:val="97"/>
    <w:link w:val="100"/>
    <w:qFormat/>
    <w:uiPriority w:val="0"/>
    <w:rPr>
      <w:rFonts w:ascii="思源黑体 CN Regular" w:hAnsi="思源黑体 CN Regular" w:eastAsia="思源黑体 CN Regular" w:cs="Arial"/>
      <w:kern w:val="2"/>
      <w:sz w:val="24"/>
      <w:szCs w:val="22"/>
      <w:lang w:val="en-GB"/>
      <w14:scene3d w14:prst="orthographicFront">
        <w14:lightRig w14:rig="threePt" w14:dir="t">
          <w14:rot w14:lat="0" w14:lon="0" w14:rev="0"/>
        </w14:lightRig>
      </w14:scene3d>
    </w:rPr>
  </w:style>
  <w:style w:type="paragraph" w:customStyle="1" w:styleId="104">
    <w:name w:val="一级 标题"/>
    <w:basedOn w:val="33"/>
    <w:qFormat/>
    <w:uiPriority w:val="0"/>
    <w:rPr>
      <w:rFonts w:eastAsia="思源黑体 CN"/>
    </w:rPr>
  </w:style>
  <w:style w:type="paragraph" w:customStyle="1" w:styleId="105">
    <w:name w:val="表格"/>
    <w:basedOn w:val="1"/>
    <w:qFormat/>
    <w:uiPriority w:val="0"/>
    <w:pPr>
      <w:widowControl/>
      <w:spacing w:line="400" w:lineRule="exact"/>
    </w:pPr>
    <w:rPr>
      <w:rFonts w:cs="宋体"/>
      <w:color w:val="000000"/>
      <w:kern w:val="0"/>
      <w:sz w:val="22"/>
      <w:szCs w:val="21"/>
    </w:rPr>
  </w:style>
  <w:style w:type="paragraph" w:customStyle="1" w:styleId="106">
    <w:name w:val="WPSOffice手动目录 1"/>
    <w:qFormat/>
    <w:uiPriority w:val="0"/>
    <w:rPr>
      <w:rFonts w:ascii="Times New Roman" w:hAnsi="Times New Roman" w:eastAsia="宋体" w:cs="Times New Roman"/>
      <w:lang w:val="en-US" w:eastAsia="zh-CN" w:bidi="ar-SA"/>
    </w:rPr>
  </w:style>
  <w:style w:type="paragraph" w:customStyle="1" w:styleId="10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08">
    <w:name w:val="无间隔2"/>
    <w:basedOn w:val="55"/>
    <w:qFormat/>
    <w:uiPriority w:val="1"/>
    <w:pPr>
      <w:numPr>
        <w:ilvl w:val="0"/>
        <w:numId w:val="0"/>
      </w:numPr>
    </w:pPr>
    <w:rPr>
      <w:rFonts w:ascii="思源黑体 CN Heavy" w:hAnsi="思源黑体 CN Heavy" w:eastAsia="思源黑体 CN Heavy"/>
      <w:color w:val="2E75B6" w:themeColor="accent1" w:themeShade="BF"/>
    </w:rPr>
  </w:style>
  <w:style w:type="character" w:customStyle="1" w:styleId="109">
    <w:name w:val="正文文本 字符"/>
    <w:basedOn w:val="20"/>
    <w:link w:val="8"/>
    <w:uiPriority w:val="1"/>
    <w:rPr>
      <w:rFonts w:ascii="微软雅黑" w:hAnsi="微软雅黑" w:eastAsia="微软雅黑" w:cs="微软雅黑"/>
      <w:sz w:val="22"/>
      <w:szCs w:val="22"/>
      <w:lang w:val="zh-CN" w:bidi="zh-CN"/>
    </w:rPr>
  </w:style>
  <w:style w:type="character" w:customStyle="1" w:styleId="110">
    <w:name w:val="无间隔 字符"/>
    <w:basedOn w:val="20"/>
    <w:link w:val="72"/>
    <w:qFormat/>
    <w:uiPriority w:val="1"/>
    <w:rPr>
      <w:rFonts w:ascii="思源黑体 CN Heavy" w:hAnsi="思源黑体 CN Heavy" w:eastAsia="思源黑体 CN Heavy" w:cs="微软雅黑"/>
      <w:b/>
      <w:color w:val="2E75B6" w:themeColor="accent1" w:themeShade="BF"/>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6" Type="http://schemas.microsoft.com/office/2011/relationships/people" Target="people.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png"/><Relationship Id="rId4" Type="http://schemas.microsoft.com/office/2011/relationships/commentsExtended" Target="commentsExtended.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comments" Target="comment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3DB10B-6D86-4AC3-96C3-2A4AEE7F2CD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36</Pages>
  <Words>2874</Words>
  <Characters>16383</Characters>
  <Lines>136</Lines>
  <Paragraphs>38</Paragraphs>
  <TotalTime>18</TotalTime>
  <ScaleCrop>false</ScaleCrop>
  <LinksUpToDate>false</LinksUpToDate>
  <CharactersWithSpaces>19219</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2022-02-23T02:10:00Z</dcterms:created>
  <dc:creator>咕咕</dc:creator>
  <cp:keywords>MakeX组委会</cp:keywords>
  <cp:lastModifiedBy>随缘</cp:lastModifiedBy>
  <cp:lastPrinted>2022-02-14T08:43:00Z</cp:lastPrinted>
  <dcterms:modified xsi:type="dcterms:W3CDTF">2022-07-27T13:33:17Z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C01D63AF54014486B02CC06951B92C3D</vt:lpwstr>
  </property>
</Properties>
</file>