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5" w:rsidRDefault="00E678F5" w:rsidP="00E678F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附件1：   </w:t>
      </w:r>
    </w:p>
    <w:p w:rsidR="00E678F5" w:rsidRDefault="00E678F5" w:rsidP="00E678F5">
      <w:pPr>
        <w:ind w:firstLineChars="450" w:firstLine="14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Ansi="仿宋" w:cs="仿宋" w:hint="eastAsia"/>
          <w:sz w:val="32"/>
          <w:szCs w:val="32"/>
        </w:rPr>
        <w:t>对话科学营—对话科学家&amp;STEM体验课</w:t>
      </w:r>
    </w:p>
    <w:p w:rsidR="00E678F5" w:rsidRDefault="00E678F5" w:rsidP="00E678F5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一、活动日程及具体安排</w:t>
      </w:r>
      <w:r>
        <w:rPr>
          <w:rFonts w:ascii="仿宋" w:eastAsia="仿宋" w:hAnsi="仿宋" w:cs="仿宋" w:hint="eastAsia"/>
          <w:sz w:val="28"/>
        </w:rPr>
        <w:t>（</w:t>
      </w:r>
      <w:r>
        <w:rPr>
          <w:rFonts w:ascii="仿宋" w:eastAsia="仿宋" w:hAnsi="仿宋" w:cs="仿宋" w:hint="eastAsia"/>
        </w:rPr>
        <w:t>主办方有权根据实际情况微调行程内容）</w:t>
      </w:r>
    </w:p>
    <w:tbl>
      <w:tblPr>
        <w:tblStyle w:val="a5"/>
        <w:tblW w:w="8180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649"/>
        <w:gridCol w:w="2377"/>
        <w:gridCol w:w="4038"/>
      </w:tblGrid>
      <w:tr w:rsidR="00E678F5" w:rsidTr="005D5B30">
        <w:trPr>
          <w:jc w:val="center"/>
        </w:trPr>
        <w:tc>
          <w:tcPr>
            <w:tcW w:w="1765" w:type="dxa"/>
            <w:gridSpan w:val="2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时间安排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学习内容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课程主题</w:t>
            </w:r>
          </w:p>
        </w:tc>
      </w:tr>
      <w:tr w:rsidR="00E678F5" w:rsidTr="005D5B30">
        <w:trPr>
          <w:trHeight w:val="451"/>
          <w:jc w:val="center"/>
        </w:trPr>
        <w:tc>
          <w:tcPr>
            <w:tcW w:w="1116" w:type="dxa"/>
            <w:vMerge w:val="restart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第一天</w:t>
            </w: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到达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接站、报到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良友赴京城 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梦科学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营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开营、破冰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科学大幕开启 徜徉瑰丽殿堂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英国教授的魔法实验室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学贯中西科技 玩转别样课堂</w:t>
            </w:r>
          </w:p>
        </w:tc>
      </w:tr>
      <w:tr w:rsidR="00E678F5" w:rsidTr="005D5B30">
        <w:trPr>
          <w:trHeight w:val="782"/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中国科学院自动化所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培植科学种子 放飞科学梦想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 w:val="restart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第二天</w:t>
            </w: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STEM课程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脑洞大开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STEM 科学有趣好玩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北京天文馆、中国古动物馆（中国科学院古脊椎动物和古人类研究所）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仰望浩瀚星空 追溯远古之谜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 w:val="restart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第三天</w:t>
            </w: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生物（动植物）课程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生灵尽皆奇妙 万物散发光辉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中国科学院天地生科学园区、国家动物博物馆（中国科学院动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物研究所）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走进高端院所 体验科研人生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 w:val="restart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第四天</w:t>
            </w:r>
          </w:p>
        </w:tc>
        <w:tc>
          <w:tcPr>
            <w:tcW w:w="649" w:type="dxa"/>
            <w:vMerge w:val="restart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航空/航天课程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探知嫦娥神州 传承航天精神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闭营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青春激扬似火 友谊地久天长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中国航空博物馆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漫步创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想空间 奇妙科技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体验</w:t>
            </w:r>
          </w:p>
        </w:tc>
      </w:tr>
      <w:tr w:rsidR="00E678F5" w:rsidTr="005D5B30">
        <w:trPr>
          <w:jc w:val="center"/>
        </w:trPr>
        <w:tc>
          <w:tcPr>
            <w:tcW w:w="1116" w:type="dxa"/>
            <w:vMerge w:val="restart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第五天</w:t>
            </w: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中国科技馆、奥体中心/中国人民抗日战争纪念馆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前事刻骨不忘 后事发奋之师</w:t>
            </w:r>
          </w:p>
        </w:tc>
      </w:tr>
      <w:tr w:rsidR="00E678F5" w:rsidTr="005D5B30">
        <w:trPr>
          <w:trHeight w:val="634"/>
          <w:jc w:val="center"/>
        </w:trPr>
        <w:tc>
          <w:tcPr>
            <w:tcW w:w="1116" w:type="dxa"/>
            <w:vMerge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E678F5" w:rsidRDefault="00E678F5" w:rsidP="00220B8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377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送站、回程</w:t>
            </w:r>
          </w:p>
        </w:tc>
        <w:tc>
          <w:tcPr>
            <w:tcW w:w="4038" w:type="dxa"/>
            <w:vAlign w:val="center"/>
          </w:tcPr>
          <w:p w:rsidR="00E678F5" w:rsidRDefault="00E678F5" w:rsidP="00220B82">
            <w:pPr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沉淀满满收获 带着梦想启航</w:t>
            </w:r>
          </w:p>
        </w:tc>
      </w:tr>
      <w:tr w:rsidR="00E678F5" w:rsidTr="005D5B30">
        <w:trPr>
          <w:jc w:val="center"/>
        </w:trPr>
        <w:tc>
          <w:tcPr>
            <w:tcW w:w="8180" w:type="dxa"/>
            <w:gridSpan w:val="4"/>
            <w:vAlign w:val="center"/>
          </w:tcPr>
          <w:p w:rsidR="00E678F5" w:rsidRDefault="00E678F5" w:rsidP="00220B82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△中国人民抗日战争纪念馆为首批中国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学旅游目的地和全国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学旅游示范基地</w:t>
            </w:r>
          </w:p>
        </w:tc>
      </w:tr>
    </w:tbl>
    <w:p w:rsidR="005D5B30" w:rsidRDefault="005D5B30" w:rsidP="005D5B30">
      <w:pPr>
        <w:ind w:firstLineChars="200" w:firstLine="560"/>
        <w:jc w:val="left"/>
        <w:rPr>
          <w:rFonts w:ascii="仿宋" w:eastAsia="仿宋" w:hAnsi="仿宋" w:cs="仿宋" w:hint="eastAsia"/>
          <w:bCs/>
          <w:sz w:val="28"/>
          <w:szCs w:val="28"/>
        </w:rPr>
      </w:pPr>
    </w:p>
    <w:p w:rsidR="005D5B30" w:rsidRDefault="005D5B30" w:rsidP="005D5B3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二、营期安排</w:t>
      </w:r>
    </w:p>
    <w:tbl>
      <w:tblPr>
        <w:tblStyle w:val="a5"/>
        <w:tblW w:w="8242" w:type="dxa"/>
        <w:jc w:val="center"/>
        <w:tblInd w:w="505" w:type="dxa"/>
        <w:tblLayout w:type="fixed"/>
        <w:tblLook w:val="04A0" w:firstRow="1" w:lastRow="0" w:firstColumn="1" w:lastColumn="0" w:noHBand="0" w:noVBand="1"/>
      </w:tblPr>
      <w:tblGrid>
        <w:gridCol w:w="2095"/>
        <w:gridCol w:w="3291"/>
        <w:gridCol w:w="2856"/>
      </w:tblGrid>
      <w:tr w:rsidR="005D5B30" w:rsidTr="00220B82">
        <w:trPr>
          <w:trHeight w:val="496"/>
          <w:jc w:val="center"/>
        </w:trPr>
        <w:tc>
          <w:tcPr>
            <w:tcW w:w="2095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营期</w:t>
            </w:r>
          </w:p>
        </w:tc>
        <w:tc>
          <w:tcPr>
            <w:tcW w:w="3291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856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班级数量</w:t>
            </w:r>
          </w:p>
        </w:tc>
      </w:tr>
      <w:tr w:rsidR="005D5B30" w:rsidTr="00220B82">
        <w:trPr>
          <w:trHeight w:val="600"/>
          <w:jc w:val="center"/>
        </w:trPr>
        <w:tc>
          <w:tcPr>
            <w:tcW w:w="2095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第一期</w:t>
            </w:r>
          </w:p>
        </w:tc>
        <w:tc>
          <w:tcPr>
            <w:tcW w:w="3291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7月8日—7月12日</w:t>
            </w:r>
          </w:p>
        </w:tc>
        <w:tc>
          <w:tcPr>
            <w:tcW w:w="2856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8（50人/班）</w:t>
            </w:r>
          </w:p>
        </w:tc>
      </w:tr>
      <w:tr w:rsidR="005D5B30" w:rsidTr="00220B82">
        <w:trPr>
          <w:trHeight w:val="561"/>
          <w:jc w:val="center"/>
        </w:trPr>
        <w:tc>
          <w:tcPr>
            <w:tcW w:w="2095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第二期</w:t>
            </w:r>
          </w:p>
        </w:tc>
        <w:tc>
          <w:tcPr>
            <w:tcW w:w="3291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7月14日—7月18日</w:t>
            </w:r>
          </w:p>
        </w:tc>
        <w:tc>
          <w:tcPr>
            <w:tcW w:w="2856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8（50人/班）</w:t>
            </w:r>
          </w:p>
        </w:tc>
      </w:tr>
      <w:tr w:rsidR="005D5B30" w:rsidTr="00220B82">
        <w:trPr>
          <w:trHeight w:val="523"/>
          <w:jc w:val="center"/>
        </w:trPr>
        <w:tc>
          <w:tcPr>
            <w:tcW w:w="2095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第三期</w:t>
            </w:r>
          </w:p>
        </w:tc>
        <w:tc>
          <w:tcPr>
            <w:tcW w:w="3291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7月20日—7月24日</w:t>
            </w:r>
          </w:p>
        </w:tc>
        <w:tc>
          <w:tcPr>
            <w:tcW w:w="2856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8（50人/班）</w:t>
            </w:r>
          </w:p>
        </w:tc>
      </w:tr>
      <w:tr w:rsidR="005D5B30" w:rsidTr="00220B82">
        <w:trPr>
          <w:trHeight w:val="498"/>
          <w:jc w:val="center"/>
        </w:trPr>
        <w:tc>
          <w:tcPr>
            <w:tcW w:w="2095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第四期</w:t>
            </w:r>
          </w:p>
        </w:tc>
        <w:tc>
          <w:tcPr>
            <w:tcW w:w="3291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7月26日—7月30日</w:t>
            </w:r>
          </w:p>
        </w:tc>
        <w:tc>
          <w:tcPr>
            <w:tcW w:w="2856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8（50人/班）</w:t>
            </w:r>
          </w:p>
        </w:tc>
      </w:tr>
      <w:tr w:rsidR="005D5B30" w:rsidTr="00220B82">
        <w:trPr>
          <w:trHeight w:val="589"/>
          <w:jc w:val="center"/>
        </w:trPr>
        <w:tc>
          <w:tcPr>
            <w:tcW w:w="2095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第五期</w:t>
            </w:r>
          </w:p>
        </w:tc>
        <w:tc>
          <w:tcPr>
            <w:tcW w:w="3291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8月1日—8月5日</w:t>
            </w:r>
          </w:p>
        </w:tc>
        <w:tc>
          <w:tcPr>
            <w:tcW w:w="2856" w:type="dxa"/>
            <w:vAlign w:val="center"/>
          </w:tcPr>
          <w:p w:rsidR="005D5B30" w:rsidRDefault="005D5B30" w:rsidP="00220B8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8（50人/班）</w:t>
            </w:r>
          </w:p>
        </w:tc>
      </w:tr>
    </w:tbl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</w:p>
    <w:p w:rsidR="005D5B30" w:rsidRDefault="005D5B30" w:rsidP="005D5B3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三、活动时间：五天四晚</w:t>
      </w:r>
    </w:p>
    <w:p w:rsidR="005D5B30" w:rsidRDefault="005D5B30" w:rsidP="005D5B3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四、服务标准：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（一）课程费：1960元（包含专家、课程、场地、门票等组织管理费用）。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（二）接待费：1000元，包含在京五天四晚，住宿、用餐、市内交通等接待费用；不含往返北京大交通费，提前来京或推后离京，每多住一晚加收200元/人。（400人团体报名，可以个性化定制接待标准）。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（三）住宿标准：北京正规宾馆酒店，2人标准间，设施齐全，空调电视、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独立卫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浴。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（四）用餐标准：高校食堂营养份餐或社会正规餐厅用餐，十人一桌八菜一汤。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（五）交通标准：北京正规专业车队空调大巴，每人一座，保障活动安全、顺畅。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（六）班级：少年班（11—15岁）、精英班（16-18岁）；50人/班，精准授课；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（七）行程：因天气、交通、场馆等原因，组委会保留调整活动顺序及置换课程的权力，活动总量不变。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（八）辅导员：清北人师等首都名校优秀学子任辅导员，全程陪同，同吃同住，同行同学。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（九）队医：每两班配备一名随行队医，全程陪同，悉心照顾，保障营员身体健康。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（十）保险：活动全程为每个营员和老师准备了保额10万元的人身意外伤害及医疗保险。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（十一）赠送：营员证、营服、营帽、营员手册、签字笔，每班评选5名优秀营员，证书奖品。</w:t>
      </w:r>
    </w:p>
    <w:p w:rsidR="005D5B30" w:rsidRDefault="005D5B30" w:rsidP="005D5B3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（十二）安全：活动开展区域为科研院所、科研基地、科普基地；辅导员全程带队，安全、放心。</w:t>
      </w:r>
    </w:p>
    <w:p w:rsidR="005D5B30" w:rsidRDefault="005D5B30" w:rsidP="005D5B3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五、支持单位：  </w:t>
      </w:r>
    </w:p>
    <w:p w:rsidR="005D5B30" w:rsidRDefault="005D5B30" w:rsidP="005D5B30">
      <w:pPr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32"/>
        </w:rPr>
      </w:pPr>
      <w:r>
        <w:rPr>
          <w:rFonts w:ascii="华文仿宋" w:eastAsia="华文仿宋" w:hAnsi="华文仿宋" w:hint="eastAsia"/>
          <w:kern w:val="0"/>
          <w:sz w:val="28"/>
          <w:szCs w:val="32"/>
        </w:rPr>
        <w:t xml:space="preserve">科学出版社 、《中国国家旅游》杂志 、 中国科学技术出版社 、中国科学技术大学新媒体研究院、 《中国科技教育》杂志 、江苏汉博教育培训中心、科技学堂、江苏省国际科技合作中心  </w:t>
      </w:r>
    </w:p>
    <w:p w:rsidR="005D5B30" w:rsidRDefault="005D5B30" w:rsidP="005D5B3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六、报名方式：</w:t>
      </w:r>
    </w:p>
    <w:p w:rsidR="005D5B30" w:rsidRDefault="005D5B30" w:rsidP="005D5B30">
      <w:pPr>
        <w:ind w:firstLineChars="200" w:firstLine="560"/>
        <w:jc w:val="left"/>
        <w:rPr>
          <w:rFonts w:ascii="华文仿宋" w:eastAsia="华文仿宋" w:hAnsi="华文仿宋"/>
          <w:kern w:val="0"/>
          <w:sz w:val="28"/>
          <w:szCs w:val="32"/>
        </w:rPr>
      </w:pPr>
      <w:r>
        <w:rPr>
          <w:rFonts w:ascii="华文仿宋" w:eastAsia="华文仿宋" w:hAnsi="华文仿宋" w:hint="eastAsia"/>
          <w:kern w:val="0"/>
          <w:sz w:val="28"/>
          <w:szCs w:val="32"/>
        </w:rPr>
        <w:t>关注</w:t>
      </w:r>
      <w:proofErr w:type="gramStart"/>
      <w:r>
        <w:rPr>
          <w:rFonts w:ascii="华文仿宋" w:eastAsia="华文仿宋" w:hAnsi="华文仿宋" w:hint="eastAsia"/>
          <w:kern w:val="0"/>
          <w:sz w:val="28"/>
          <w:szCs w:val="32"/>
        </w:rPr>
        <w:t>微信公众号</w:t>
      </w:r>
      <w:proofErr w:type="gramEnd"/>
      <w:r>
        <w:rPr>
          <w:rFonts w:ascii="华文仿宋" w:eastAsia="华文仿宋" w:hAnsi="华文仿宋" w:hint="eastAsia"/>
          <w:kern w:val="0"/>
          <w:sz w:val="28"/>
          <w:szCs w:val="32"/>
        </w:rPr>
        <w:t>“对话科学”→登录报名系统进行在线报名</w:t>
      </w:r>
    </w:p>
    <w:p w:rsidR="005D5B30" w:rsidRDefault="005D5B30" w:rsidP="005D5B30">
      <w:pPr>
        <w:ind w:firstLineChars="200" w:firstLine="560"/>
        <w:jc w:val="left"/>
        <w:rPr>
          <w:rFonts w:ascii="华文仿宋" w:eastAsia="华文仿宋" w:hAnsi="华文仿宋"/>
          <w:kern w:val="0"/>
          <w:sz w:val="28"/>
          <w:szCs w:val="32"/>
        </w:rPr>
      </w:pPr>
      <w:r>
        <w:rPr>
          <w:rFonts w:ascii="华文仿宋" w:eastAsia="华文仿宋" w:hAnsi="华文仿宋" w:hint="eastAsia"/>
          <w:kern w:val="0"/>
          <w:sz w:val="28"/>
          <w:szCs w:val="32"/>
        </w:rPr>
        <w:t>七、联系方式：</w:t>
      </w:r>
    </w:p>
    <w:p w:rsidR="005D5B30" w:rsidRDefault="005D5B30" w:rsidP="005D5B30">
      <w:pPr>
        <w:ind w:firstLineChars="200" w:firstLine="560"/>
        <w:jc w:val="left"/>
        <w:rPr>
          <w:rFonts w:ascii="华文仿宋" w:eastAsia="华文仿宋" w:hAnsi="华文仿宋"/>
          <w:kern w:val="0"/>
          <w:sz w:val="28"/>
          <w:szCs w:val="32"/>
        </w:rPr>
      </w:pPr>
      <w:r>
        <w:rPr>
          <w:rFonts w:ascii="华文仿宋" w:eastAsia="华文仿宋" w:hAnsi="华文仿宋" w:hint="eastAsia"/>
          <w:kern w:val="0"/>
          <w:sz w:val="28"/>
          <w:szCs w:val="32"/>
        </w:rPr>
        <w:t>联系地址：北京市海淀区海淀南路30号航天精密大厦B座503</w:t>
      </w:r>
    </w:p>
    <w:p w:rsidR="005D5B30" w:rsidRDefault="005D5B30" w:rsidP="005D5B30">
      <w:pPr>
        <w:ind w:firstLineChars="200" w:firstLine="560"/>
        <w:jc w:val="left"/>
        <w:rPr>
          <w:rFonts w:ascii="华文仿宋" w:eastAsia="华文仿宋" w:hAnsi="华文仿宋"/>
          <w:kern w:val="0"/>
          <w:sz w:val="28"/>
          <w:szCs w:val="32"/>
        </w:rPr>
      </w:pPr>
      <w:r>
        <w:rPr>
          <w:rFonts w:ascii="华文仿宋" w:eastAsia="华文仿宋" w:hAnsi="华文仿宋" w:hint="eastAsia"/>
          <w:kern w:val="0"/>
          <w:sz w:val="28"/>
          <w:szCs w:val="32"/>
        </w:rPr>
        <w:t>联系电话：010-57454065  59479870   任老师 乔老师</w:t>
      </w:r>
    </w:p>
    <w:p w:rsidR="00E678F5" w:rsidRDefault="00E678F5" w:rsidP="00E678F5">
      <w:pPr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E6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97" w:rsidRDefault="00D32A97" w:rsidP="00E678F5">
      <w:r>
        <w:separator/>
      </w:r>
    </w:p>
  </w:endnote>
  <w:endnote w:type="continuationSeparator" w:id="0">
    <w:p w:rsidR="00D32A97" w:rsidRDefault="00D32A97" w:rsidP="00E6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97" w:rsidRDefault="00D32A97" w:rsidP="00E678F5">
      <w:r>
        <w:separator/>
      </w:r>
    </w:p>
  </w:footnote>
  <w:footnote w:type="continuationSeparator" w:id="0">
    <w:p w:rsidR="00D32A97" w:rsidRDefault="00D32A97" w:rsidP="00E6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E"/>
    <w:rsid w:val="000C617E"/>
    <w:rsid w:val="005D5B30"/>
    <w:rsid w:val="007801B2"/>
    <w:rsid w:val="00B60094"/>
    <w:rsid w:val="00D32A97"/>
    <w:rsid w:val="00DA1509"/>
    <w:rsid w:val="00E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8F5"/>
    <w:rPr>
      <w:sz w:val="18"/>
      <w:szCs w:val="18"/>
    </w:rPr>
  </w:style>
  <w:style w:type="table" w:styleId="a5">
    <w:name w:val="Table Grid"/>
    <w:basedOn w:val="a1"/>
    <w:qFormat/>
    <w:rsid w:val="00E678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8F5"/>
    <w:rPr>
      <w:sz w:val="18"/>
      <w:szCs w:val="18"/>
    </w:rPr>
  </w:style>
  <w:style w:type="table" w:styleId="a5">
    <w:name w:val="Table Grid"/>
    <w:basedOn w:val="a1"/>
    <w:qFormat/>
    <w:rsid w:val="00E678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2017-04-11T02:24:00Z</dcterms:created>
  <dcterms:modified xsi:type="dcterms:W3CDTF">2017-04-11T02:25:00Z</dcterms:modified>
</cp:coreProperties>
</file>